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8F8C" w14:textId="77777777" w:rsidR="005646BF" w:rsidRPr="005646BF" w:rsidRDefault="005646BF" w:rsidP="00564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BF">
        <w:rPr>
          <w:rFonts w:ascii="Times New Roman" w:eastAsia="Times New Roman" w:hAnsi="Times New Roman" w:cs="Times New Roman"/>
          <w:b/>
          <w:sz w:val="24"/>
          <w:szCs w:val="24"/>
        </w:rPr>
        <w:t>3356-10-2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646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7543">
        <w:rPr>
          <w:rFonts w:ascii="Times New Roman" w:eastAsia="Times New Roman" w:hAnsi="Times New Roman" w:cs="Times New Roman"/>
          <w:b/>
          <w:sz w:val="24"/>
          <w:szCs w:val="24"/>
        </w:rPr>
        <w:t xml:space="preserve">Export </w:t>
      </w:r>
      <w:r w:rsidR="00EC3DD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ontrol policy</w:t>
      </w:r>
      <w:r w:rsidRPr="005646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86FC0E1" w14:textId="77777777" w:rsidR="005646BF" w:rsidRPr="005646BF" w:rsidRDefault="005646BF" w:rsidP="005646BF">
      <w:pPr>
        <w:tabs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75B79" w14:textId="77777777" w:rsidR="005646BF" w:rsidRPr="005646BF" w:rsidRDefault="005646BF" w:rsidP="005646BF">
      <w:pPr>
        <w:tabs>
          <w:tab w:val="left" w:pos="3060"/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BF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  <w:t xml:space="preserve">Office of </w:t>
      </w:r>
      <w:r>
        <w:rPr>
          <w:rFonts w:ascii="Times New Roman" w:eastAsia="Times New Roman" w:hAnsi="Times New Roman" w:cs="Times New Roman"/>
          <w:sz w:val="24"/>
          <w:szCs w:val="24"/>
        </w:rPr>
        <w:t>Research Services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8CDB5F" w14:textId="77777777" w:rsidR="005646BF" w:rsidRPr="005646BF" w:rsidRDefault="005646BF" w:rsidP="005646BF">
      <w:pPr>
        <w:tabs>
          <w:tab w:val="left" w:pos="3060"/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BF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  <w:t>Provost and Vice President for Academic Affairs</w:t>
      </w:r>
    </w:p>
    <w:p w14:paraId="64C877A5" w14:textId="4AED0CA5" w:rsidR="005646BF" w:rsidRPr="005646BF" w:rsidRDefault="005646BF" w:rsidP="005646BF">
      <w:pPr>
        <w:tabs>
          <w:tab w:val="left" w:pos="3060"/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BF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June 2020</w:t>
      </w:r>
      <w:r w:rsidR="00BB204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50CAE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BB2040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79A2E53F" w14:textId="77777777" w:rsidR="005646BF" w:rsidRPr="005646BF" w:rsidRDefault="005646BF" w:rsidP="005646BF">
      <w:pPr>
        <w:tabs>
          <w:tab w:val="left" w:pos="3060"/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BF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  <w:t>Academic Excellence and Student Success</w:t>
      </w:r>
    </w:p>
    <w:p w14:paraId="79419D84" w14:textId="793B05C9" w:rsidR="005646BF" w:rsidRPr="007C4651" w:rsidRDefault="005646BF" w:rsidP="005646BF">
      <w:pPr>
        <w:tabs>
          <w:tab w:val="left" w:pos="3060"/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46BF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</w:r>
      <w:r w:rsidR="00A24F79" w:rsidRPr="007C4651">
        <w:rPr>
          <w:rFonts w:ascii="Times New Roman" w:eastAsia="Times New Roman" w:hAnsi="Times New Roman" w:cs="Times New Roman"/>
          <w:b/>
          <w:sz w:val="24"/>
          <w:szCs w:val="24"/>
        </w:rPr>
        <w:t>June 24, 2025</w:t>
      </w:r>
    </w:p>
    <w:p w14:paraId="1A6F506C" w14:textId="5AC0EAB7" w:rsidR="005646BF" w:rsidRPr="007C4651" w:rsidRDefault="005646BF" w:rsidP="005646BF">
      <w:pPr>
        <w:tabs>
          <w:tab w:val="left" w:pos="3060"/>
          <w:tab w:val="left" w:pos="72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46BF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</w:r>
      <w:r w:rsidR="00A24F79" w:rsidRPr="007C4651">
        <w:rPr>
          <w:rFonts w:ascii="Times New Roman" w:eastAsia="Times New Roman" w:hAnsi="Times New Roman" w:cs="Times New Roman"/>
          <w:sz w:val="24"/>
          <w:szCs w:val="24"/>
        </w:rPr>
        <w:t>2030</w:t>
      </w:r>
    </w:p>
    <w:p w14:paraId="5E0C9D43" w14:textId="74E20C1F" w:rsidR="005646BF" w:rsidRPr="00DF2804" w:rsidRDefault="005646BF" w:rsidP="00DF2804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6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5646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245D2041" w14:textId="52E879D2" w:rsidR="005646BF" w:rsidRPr="00DF2804" w:rsidRDefault="005646BF" w:rsidP="00DF2804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2E00409B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tab/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Policy statement.  It is the policy of the university that all students,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employees, and all other people retained or working at or for the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university comply with all U.S. </w:t>
      </w:r>
      <w:r w:rsidR="00FA3D7D" w:rsidRPr="007C4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export</w:t>
      </w:r>
      <w:r w:rsidR="00FA3D7D" w:rsidRPr="2E004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laws and regulations while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performing work on behalf o</w:t>
      </w:r>
      <w:r w:rsidR="00E37498" w:rsidRPr="2E00409B">
        <w:rPr>
          <w:rFonts w:ascii="Times New Roman" w:eastAsia="Times New Roman" w:hAnsi="Times New Roman" w:cs="Times New Roman"/>
          <w:sz w:val="24"/>
          <w:szCs w:val="24"/>
        </w:rPr>
        <w:t>f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the university.  Although the university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strives to create an environment where teaching, learning, and research are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conducted openly and without restrictions, certain federal regulations may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require the university to obtain permission </w:t>
      </w:r>
      <w:r w:rsidR="00FA3D7D" w:rsidRPr="2E00409B">
        <w:rPr>
          <w:rFonts w:ascii="Times New Roman" w:eastAsia="Times New Roman" w:hAnsi="Times New Roman" w:cs="Times New Roman"/>
          <w:sz w:val="24"/>
          <w:szCs w:val="24"/>
        </w:rPr>
        <w:t xml:space="preserve">or a license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from the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government before allowing foreign persons to participate in or have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access to research involving specific</w:t>
      </w:r>
      <w:r w:rsidR="00A07787" w:rsidRPr="2E004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38DFF1" w:rsidRPr="2E00409B">
        <w:rPr>
          <w:rFonts w:ascii="Times New Roman" w:eastAsia="Times New Roman" w:hAnsi="Times New Roman" w:cs="Times New Roman"/>
          <w:sz w:val="24"/>
          <w:szCs w:val="24"/>
        </w:rPr>
        <w:t>export-controlled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787" w:rsidRPr="2E00409B">
        <w:rPr>
          <w:rFonts w:ascii="Times New Roman" w:eastAsia="Times New Roman" w:hAnsi="Times New Roman" w:cs="Times New Roman"/>
          <w:sz w:val="24"/>
          <w:szCs w:val="24"/>
        </w:rPr>
        <w:t>goods,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technologies</w:t>
      </w:r>
      <w:r w:rsidR="005A6227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A07787" w:rsidRPr="2E00409B">
        <w:rPr>
          <w:rFonts w:ascii="Times New Roman" w:eastAsia="Times New Roman" w:hAnsi="Times New Roman" w:cs="Times New Roman"/>
          <w:sz w:val="24"/>
          <w:szCs w:val="24"/>
        </w:rPr>
        <w:t>oftware, blueprints</w:t>
      </w:r>
      <w:r w:rsidR="00413A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or data.  Export</w:t>
      </w:r>
      <w:r w:rsidR="00D14D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ontrol</w:t>
      </w:r>
      <w:r w:rsidR="00D14D0B">
        <w:rPr>
          <w:rFonts w:ascii="Times New Roman" w:eastAsia="Times New Roman" w:hAnsi="Times New Roman" w:cs="Times New Roman"/>
          <w:sz w:val="24"/>
          <w:szCs w:val="24"/>
        </w:rPr>
        <w:t>led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regulations have the potential to:</w:t>
      </w:r>
      <w:r w:rsidRPr="2E0040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257538" w14:textId="7BD667B2" w:rsidR="005646BF" w:rsidRPr="005646BF" w:rsidRDefault="005646BF" w:rsidP="00DF2804">
      <w:pPr>
        <w:spacing w:before="240" w:line="240" w:lineRule="auto"/>
        <w:ind w:left="1440" w:hanging="720"/>
        <w:rPr>
          <w:rFonts w:ascii="Times New Roman" w:eastAsia="Calibri" w:hAnsi="Times New Roman" w:cs="Times New Roman"/>
          <w:sz w:val="24"/>
        </w:rPr>
      </w:pPr>
      <w:r w:rsidRPr="005646BF">
        <w:rPr>
          <w:rFonts w:ascii="Times New Roman" w:eastAsia="Calibri" w:hAnsi="Times New Roman" w:cs="Times New Roman"/>
          <w:sz w:val="24"/>
        </w:rPr>
        <w:t>(1)</w:t>
      </w:r>
      <w:r>
        <w:rPr>
          <w:rFonts w:ascii="Times New Roman" w:eastAsia="Calibri" w:hAnsi="Times New Roman" w:cs="Times New Roman"/>
          <w:sz w:val="24"/>
        </w:rPr>
        <w:tab/>
        <w:t>Limit research opportunities of university faculty, staff, and students;</w:t>
      </w:r>
      <w:r w:rsidRPr="005646BF">
        <w:rPr>
          <w:rFonts w:ascii="Times New Roman" w:eastAsia="Calibri" w:hAnsi="Times New Roman" w:cs="Times New Roman"/>
          <w:sz w:val="24"/>
        </w:rPr>
        <w:tab/>
      </w:r>
    </w:p>
    <w:p w14:paraId="1CEAE4A6" w14:textId="55DEA375" w:rsidR="005646BF" w:rsidRPr="005646BF" w:rsidRDefault="005646BF" w:rsidP="00DF2804">
      <w:pPr>
        <w:spacing w:before="240" w:line="240" w:lineRule="auto"/>
        <w:ind w:left="1440" w:hanging="720"/>
        <w:rPr>
          <w:rFonts w:ascii="Times New Roman" w:eastAsia="Calibri" w:hAnsi="Times New Roman" w:cs="Times New Roman"/>
          <w:sz w:val="24"/>
        </w:rPr>
      </w:pPr>
      <w:r w:rsidRPr="005646BF">
        <w:rPr>
          <w:rFonts w:ascii="Times New Roman" w:eastAsia="Calibri" w:hAnsi="Times New Roman" w:cs="Times New Roman"/>
          <w:sz w:val="24"/>
        </w:rPr>
        <w:t>(2)</w:t>
      </w:r>
      <w:r w:rsidRPr="005646BF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Affect publication rights; and/or</w:t>
      </w:r>
    </w:p>
    <w:p w14:paraId="45CEBC0E" w14:textId="3C81E75A" w:rsidR="005646BF" w:rsidRPr="005646BF" w:rsidRDefault="005646BF" w:rsidP="00DF2804">
      <w:pPr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46BF">
        <w:rPr>
          <w:rFonts w:ascii="Times New Roman" w:eastAsia="Calibri" w:hAnsi="Times New Roman" w:cs="Times New Roman"/>
          <w:sz w:val="24"/>
        </w:rPr>
        <w:t>(3)</w:t>
      </w:r>
      <w:r w:rsidRPr="005646BF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Prevent collaboration</w:t>
      </w:r>
      <w:r w:rsidR="004C426F">
        <w:rPr>
          <w:rFonts w:ascii="Times New Roman" w:eastAsia="Calibri" w:hAnsi="Times New Roman" w:cs="Times New Roman"/>
          <w:sz w:val="24"/>
        </w:rPr>
        <w:t>.</w:t>
      </w:r>
    </w:p>
    <w:p w14:paraId="593AF7B4" w14:textId="7F02514C" w:rsidR="005646BF" w:rsidRPr="005646BF" w:rsidRDefault="005646BF" w:rsidP="00DF2804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46BF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5646BF">
        <w:rPr>
          <w:rFonts w:ascii="Times New Roman" w:eastAsia="Times New Roman" w:hAnsi="Times New Roman" w:cs="Times New Roman"/>
          <w:sz w:val="24"/>
          <w:szCs w:val="24"/>
        </w:rPr>
        <w:tab/>
        <w:t xml:space="preserve">Purpose. 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establish university compliance with U.S. </w:t>
      </w:r>
      <w:r w:rsidR="00EC3D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E37498">
        <w:rPr>
          <w:rFonts w:ascii="Times New Roman" w:eastAsia="Times New Roman" w:hAnsi="Times New Roman" w:cs="Times New Roman"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sz w:val="24"/>
          <w:szCs w:val="24"/>
        </w:rPr>
        <w:t>c</w:t>
      </w:r>
      <w:r w:rsidR="00E37498">
        <w:rPr>
          <w:rFonts w:ascii="Times New Roman" w:eastAsia="Times New Roman" w:hAnsi="Times New Roman" w:cs="Times New Roman"/>
          <w:sz w:val="24"/>
          <w:szCs w:val="24"/>
        </w:rPr>
        <w:t>ontrol laws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498">
        <w:rPr>
          <w:rFonts w:ascii="Times New Roman" w:eastAsia="Times New Roman" w:hAnsi="Times New Roman" w:cs="Times New Roman"/>
          <w:sz w:val="24"/>
          <w:szCs w:val="24"/>
        </w:rPr>
        <w:t>and regulations while balancing the university’s commitment to openness</w:t>
      </w:r>
      <w:r w:rsidR="00DF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498">
        <w:rPr>
          <w:rFonts w:ascii="Times New Roman" w:eastAsia="Times New Roman" w:hAnsi="Times New Roman" w:cs="Times New Roman"/>
          <w:sz w:val="24"/>
          <w:szCs w:val="24"/>
        </w:rPr>
        <w:t>in research and education.</w:t>
      </w:r>
      <w:r w:rsidRPr="005646BF">
        <w:rPr>
          <w:rFonts w:ascii="Times New Roman" w:hAnsi="Times New Roman" w:cs="Times New Roman"/>
          <w:sz w:val="24"/>
        </w:rPr>
        <w:t xml:space="preserve">   </w:t>
      </w:r>
    </w:p>
    <w:p w14:paraId="439FF26E" w14:textId="311260DB" w:rsidR="00E37498" w:rsidRPr="00E37498" w:rsidRDefault="00E37498" w:rsidP="00DF2804">
      <w:pPr>
        <w:spacing w:before="24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E37498">
        <w:rPr>
          <w:rFonts w:ascii="Times New Roman" w:eastAsia="Calibri" w:hAnsi="Times New Roman" w:cs="Times New Roman"/>
          <w:sz w:val="24"/>
        </w:rPr>
        <w:t>(C)</w:t>
      </w:r>
      <w:r w:rsidRPr="00E37498">
        <w:rPr>
          <w:rFonts w:ascii="Times New Roman" w:eastAsia="Calibri" w:hAnsi="Times New Roman" w:cs="Times New Roman"/>
          <w:sz w:val="24"/>
        </w:rPr>
        <w:tab/>
        <w:t>Scope.</w:t>
      </w:r>
      <w:r>
        <w:rPr>
          <w:rFonts w:ascii="Times New Roman" w:eastAsia="Calibri" w:hAnsi="Times New Roman" w:cs="Times New Roman"/>
          <w:sz w:val="24"/>
        </w:rPr>
        <w:t xml:space="preserve">  This policy applies to all members of the campus community,</w:t>
      </w:r>
      <w:r w:rsidR="00DF280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comprising all units and university personnel including faculty, staff,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visiting scholars, research associates and fellows, student employees,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students, visitors, volunteers, and all others retained by or working at the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university when conducting any research, teaching, service or business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activity at the university or on behalf of the university at a domestic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location or in a foreign country.</w:t>
      </w:r>
    </w:p>
    <w:p w14:paraId="0E56CEA0" w14:textId="18D19ADB" w:rsidR="00E37498" w:rsidRPr="00E37498" w:rsidRDefault="00E37498" w:rsidP="00DF2804">
      <w:pPr>
        <w:spacing w:before="24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E37498">
        <w:rPr>
          <w:rFonts w:ascii="Times New Roman" w:eastAsia="Calibri" w:hAnsi="Times New Roman" w:cs="Times New Roman"/>
          <w:sz w:val="24"/>
        </w:rPr>
        <w:lastRenderedPageBreak/>
        <w:t>(D)</w:t>
      </w:r>
      <w:r w:rsidRPr="00E37498">
        <w:rPr>
          <w:rFonts w:ascii="Times New Roman" w:eastAsia="Calibri" w:hAnsi="Times New Roman" w:cs="Times New Roman"/>
          <w:sz w:val="24"/>
        </w:rPr>
        <w:tab/>
        <w:t xml:space="preserve">Definitions.  </w:t>
      </w:r>
    </w:p>
    <w:p w14:paraId="770B9274" w14:textId="391B8F28" w:rsidR="00E37498" w:rsidRPr="00E37498" w:rsidRDefault="003202EB" w:rsidP="00DF2804">
      <w:pPr>
        <w:spacing w:before="240" w:line="240" w:lineRule="auto"/>
        <w:ind w:left="1440" w:hanging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(1)</w:t>
      </w:r>
      <w:r>
        <w:rPr>
          <w:rFonts w:ascii="Times New Roman" w:eastAsia="Calibri" w:hAnsi="Times New Roman" w:cs="Times New Roman"/>
          <w:sz w:val="24"/>
        </w:rPr>
        <w:tab/>
      </w:r>
      <w:r w:rsidR="00C8467E" w:rsidRPr="007C4651">
        <w:rPr>
          <w:rFonts w:ascii="Times New Roman" w:eastAsia="Calibri" w:hAnsi="Times New Roman" w:cs="Times New Roman"/>
          <w:sz w:val="24"/>
        </w:rPr>
        <w:t>“</w:t>
      </w:r>
      <w:r w:rsidR="00E37498" w:rsidRPr="007C4651">
        <w:rPr>
          <w:rFonts w:ascii="Times New Roman" w:eastAsia="Calibri" w:hAnsi="Times New Roman" w:cs="Times New Roman"/>
          <w:sz w:val="24"/>
        </w:rPr>
        <w:t>Controlled export.</w:t>
      </w:r>
      <w:r w:rsidR="00C8467E" w:rsidRPr="007C4651">
        <w:rPr>
          <w:rFonts w:ascii="Times New Roman" w:eastAsia="Calibri" w:hAnsi="Times New Roman" w:cs="Times New Roman"/>
          <w:sz w:val="24"/>
        </w:rPr>
        <w:t>”</w:t>
      </w:r>
      <w:r w:rsidR="00E37498" w:rsidRPr="007C4651">
        <w:rPr>
          <w:rFonts w:ascii="Times New Roman" w:eastAsia="Calibri" w:hAnsi="Times New Roman" w:cs="Times New Roman"/>
          <w:sz w:val="24"/>
        </w:rPr>
        <w:t xml:space="preserve">  Specific types of exports regulated by the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 w:rsidR="00E37498" w:rsidRPr="007C4651">
        <w:rPr>
          <w:rFonts w:ascii="Times New Roman" w:eastAsia="Calibri" w:hAnsi="Times New Roman" w:cs="Times New Roman"/>
          <w:sz w:val="24"/>
        </w:rPr>
        <w:t xml:space="preserve">federal government (e.g., </w:t>
      </w:r>
      <w:r w:rsidR="00B02711" w:rsidRPr="007C4651">
        <w:rPr>
          <w:rFonts w:ascii="Times New Roman" w:eastAsia="Calibri" w:hAnsi="Times New Roman" w:cs="Times New Roman"/>
          <w:sz w:val="24"/>
        </w:rPr>
        <w:t xml:space="preserve">goods, </w:t>
      </w:r>
      <w:r w:rsidR="00E37498" w:rsidRPr="007C4651">
        <w:rPr>
          <w:rFonts w:ascii="Times New Roman" w:eastAsia="Calibri" w:hAnsi="Times New Roman" w:cs="Times New Roman"/>
          <w:sz w:val="24"/>
        </w:rPr>
        <w:t>commodity, biologics, equipment,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 w:rsidR="00E37498" w:rsidRPr="007C4651">
        <w:rPr>
          <w:rFonts w:ascii="Times New Roman" w:eastAsia="Calibri" w:hAnsi="Times New Roman" w:cs="Times New Roman"/>
          <w:sz w:val="24"/>
        </w:rPr>
        <w:t>software, encryption, technology or technical information) sent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 w:rsidR="00E37498" w:rsidRPr="007C4651">
        <w:rPr>
          <w:rFonts w:ascii="Times New Roman" w:eastAsia="Calibri" w:hAnsi="Times New Roman" w:cs="Times New Roman"/>
          <w:sz w:val="24"/>
        </w:rPr>
        <w:t>from the U.S. to a foreign person or destination</w:t>
      </w:r>
      <w:r w:rsidR="00253EA5">
        <w:rPr>
          <w:rFonts w:ascii="Times New Roman" w:eastAsia="Calibri" w:hAnsi="Times New Roman" w:cs="Times New Roman"/>
          <w:sz w:val="24"/>
        </w:rPr>
        <w:t xml:space="preserve"> </w:t>
      </w:r>
      <w:r w:rsidR="00B02711" w:rsidRPr="007C4651">
        <w:rPr>
          <w:rFonts w:ascii="Times New Roman" w:eastAsia="Calibri" w:hAnsi="Times New Roman" w:cs="Times New Roman"/>
          <w:sz w:val="24"/>
        </w:rPr>
        <w:t>or delivered to a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 w:rsidR="00B02711" w:rsidRPr="007C4651">
        <w:rPr>
          <w:rFonts w:ascii="Times New Roman" w:eastAsia="Calibri" w:hAnsi="Times New Roman" w:cs="Times New Roman"/>
          <w:sz w:val="24"/>
        </w:rPr>
        <w:t xml:space="preserve">foreign person inside the </w:t>
      </w:r>
      <w:r w:rsidR="00B02711" w:rsidRPr="003151BC">
        <w:rPr>
          <w:rFonts w:ascii="Times New Roman" w:eastAsia="Calibri" w:hAnsi="Times New Roman" w:cs="Times New Roman"/>
          <w:sz w:val="24"/>
        </w:rPr>
        <w:t>U.S. under the definition “deemed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 w:rsidR="00F37BA4" w:rsidRPr="003151BC">
        <w:rPr>
          <w:rFonts w:ascii="Times New Roman" w:eastAsia="Calibri" w:hAnsi="Times New Roman" w:cs="Times New Roman"/>
          <w:sz w:val="24"/>
        </w:rPr>
        <w:t>export</w:t>
      </w:r>
      <w:r w:rsidR="0095591F">
        <w:rPr>
          <w:rFonts w:ascii="Times New Roman" w:eastAsia="Calibri" w:hAnsi="Times New Roman" w:cs="Times New Roman"/>
          <w:sz w:val="24"/>
        </w:rPr>
        <w:t>.</w:t>
      </w:r>
      <w:r w:rsidR="00F37BA4" w:rsidRPr="003151BC">
        <w:rPr>
          <w:rFonts w:ascii="Times New Roman" w:eastAsia="Calibri" w:hAnsi="Times New Roman" w:cs="Times New Roman"/>
          <w:sz w:val="24"/>
        </w:rPr>
        <w:t>”</w:t>
      </w:r>
    </w:p>
    <w:p w14:paraId="68613FC8" w14:textId="549C2401" w:rsidR="00E37498" w:rsidRPr="00E37498" w:rsidRDefault="00E37498" w:rsidP="00DF2804">
      <w:pPr>
        <w:spacing w:before="240" w:line="240" w:lineRule="auto"/>
        <w:ind w:left="1440" w:hanging="720"/>
        <w:rPr>
          <w:rFonts w:ascii="Times New Roman" w:eastAsia="Calibri" w:hAnsi="Times New Roman" w:cs="Times New Roman"/>
          <w:sz w:val="24"/>
        </w:rPr>
      </w:pPr>
      <w:r w:rsidRPr="00E37498">
        <w:rPr>
          <w:rFonts w:ascii="Times New Roman" w:eastAsia="Calibri" w:hAnsi="Times New Roman" w:cs="Times New Roman"/>
          <w:sz w:val="24"/>
        </w:rPr>
        <w:t>(2)</w:t>
      </w:r>
      <w:r w:rsidRPr="00E37498">
        <w:rPr>
          <w:rFonts w:ascii="Times New Roman" w:eastAsia="Calibri" w:hAnsi="Times New Roman" w:cs="Times New Roman"/>
          <w:sz w:val="24"/>
        </w:rPr>
        <w:tab/>
      </w:r>
      <w:r w:rsidR="00C8467E">
        <w:rPr>
          <w:rFonts w:ascii="Times New Roman" w:eastAsia="Calibri" w:hAnsi="Times New Roman" w:cs="Times New Roman"/>
          <w:sz w:val="24"/>
        </w:rPr>
        <w:t>“</w:t>
      </w:r>
      <w:r>
        <w:rPr>
          <w:rFonts w:ascii="Times New Roman" w:eastAsia="Calibri" w:hAnsi="Times New Roman" w:cs="Times New Roman"/>
          <w:sz w:val="24"/>
        </w:rPr>
        <w:t>Deemed export.</w:t>
      </w:r>
      <w:r w:rsidR="00C8467E">
        <w:rPr>
          <w:rFonts w:ascii="Times New Roman" w:eastAsia="Calibri" w:hAnsi="Times New Roman" w:cs="Times New Roman"/>
          <w:sz w:val="24"/>
        </w:rPr>
        <w:t>”</w:t>
      </w:r>
      <w:r>
        <w:rPr>
          <w:rFonts w:ascii="Times New Roman" w:eastAsia="Calibri" w:hAnsi="Times New Roman" w:cs="Times New Roman"/>
          <w:sz w:val="24"/>
        </w:rPr>
        <w:t xml:space="preserve">  The release or transmission of controlled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exports, technology, technical data, or software source code to a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foreign person in the U.S.  This can be through the physical release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of information or technology or through communications, such as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discussions, with a foreign person including students, visitors, and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foreign researchers.  Such a release of information is considered to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be an export to the foreign national’s home country or country of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current citizenship.</w:t>
      </w:r>
    </w:p>
    <w:p w14:paraId="334AADA2" w14:textId="572A7095" w:rsidR="00C06331" w:rsidRDefault="00E37498" w:rsidP="00DF2804">
      <w:pPr>
        <w:spacing w:before="240" w:line="240" w:lineRule="auto"/>
        <w:ind w:left="1440" w:hanging="720"/>
        <w:rPr>
          <w:rFonts w:ascii="Times New Roman" w:eastAsia="Calibri" w:hAnsi="Times New Roman" w:cs="Times New Roman"/>
          <w:sz w:val="24"/>
        </w:rPr>
      </w:pPr>
      <w:r w:rsidRPr="00E37498">
        <w:rPr>
          <w:rFonts w:ascii="Times New Roman" w:eastAsia="Calibri" w:hAnsi="Times New Roman" w:cs="Times New Roman"/>
          <w:sz w:val="24"/>
        </w:rPr>
        <w:t>(3)</w:t>
      </w:r>
      <w:r w:rsidRPr="00E37498">
        <w:rPr>
          <w:rFonts w:ascii="Times New Roman" w:eastAsia="Calibri" w:hAnsi="Times New Roman" w:cs="Times New Roman"/>
          <w:sz w:val="24"/>
        </w:rPr>
        <w:tab/>
      </w:r>
      <w:r w:rsidR="00C8467E">
        <w:rPr>
          <w:rFonts w:ascii="Times New Roman" w:eastAsia="Calibri" w:hAnsi="Times New Roman" w:cs="Times New Roman"/>
          <w:sz w:val="24"/>
        </w:rPr>
        <w:t>“</w:t>
      </w:r>
      <w:r>
        <w:rPr>
          <w:rFonts w:ascii="Times New Roman" w:eastAsia="Calibri" w:hAnsi="Times New Roman" w:cs="Times New Roman"/>
          <w:sz w:val="24"/>
        </w:rPr>
        <w:t xml:space="preserve">Defense </w:t>
      </w:r>
      <w:r w:rsidR="00DD7543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rticle.</w:t>
      </w:r>
      <w:r w:rsidR="00C8467E">
        <w:rPr>
          <w:rFonts w:ascii="Times New Roman" w:eastAsia="Calibri" w:hAnsi="Times New Roman" w:cs="Times New Roman"/>
          <w:sz w:val="24"/>
        </w:rPr>
        <w:t>"</w:t>
      </w:r>
    </w:p>
    <w:p w14:paraId="15CEDD3F" w14:textId="5818C534" w:rsidR="00C41A49" w:rsidRDefault="00C06331" w:rsidP="009172B9">
      <w:pPr>
        <w:spacing w:before="240" w:line="240" w:lineRule="auto"/>
        <w:ind w:left="216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(a)</w:t>
      </w:r>
      <w:r>
        <w:rPr>
          <w:rFonts w:ascii="Times New Roman" w:eastAsia="Calibri" w:hAnsi="Times New Roman" w:cs="Times New Roman"/>
          <w:sz w:val="24"/>
        </w:rPr>
        <w:tab/>
      </w:r>
      <w:r w:rsidR="00E37498">
        <w:rPr>
          <w:rFonts w:ascii="Times New Roman" w:eastAsia="Calibri" w:hAnsi="Times New Roman" w:cs="Times New Roman"/>
          <w:sz w:val="24"/>
        </w:rPr>
        <w:t>Any item or technical data designated in the U.S. Munitions List</w:t>
      </w:r>
      <w:r w:rsidR="00C75FE3">
        <w:rPr>
          <w:rFonts w:ascii="Times New Roman" w:eastAsia="Calibri" w:hAnsi="Times New Roman" w:cs="Times New Roman"/>
          <w:sz w:val="24"/>
        </w:rPr>
        <w:t>,</w:t>
      </w:r>
      <w:r w:rsidR="00583F65">
        <w:rPr>
          <w:rFonts w:ascii="Times New Roman" w:eastAsia="Calibri" w:hAnsi="Times New Roman" w:cs="Times New Roman"/>
          <w:sz w:val="24"/>
        </w:rPr>
        <w:t xml:space="preserve"> </w:t>
      </w:r>
      <w:r w:rsidR="00EA5CAA">
        <w:rPr>
          <w:rFonts w:ascii="Times New Roman" w:eastAsia="Calibri" w:hAnsi="Times New Roman" w:cs="Times New Roman"/>
          <w:sz w:val="24"/>
        </w:rPr>
        <w:t>22 C.F.R. 121.1</w:t>
      </w:r>
      <w:r w:rsidR="008A7505">
        <w:rPr>
          <w:rFonts w:ascii="Times New Roman" w:eastAsia="Calibri" w:hAnsi="Times New Roman" w:cs="Times New Roman"/>
          <w:sz w:val="24"/>
        </w:rPr>
        <w:t xml:space="preserve">.  </w:t>
      </w:r>
      <w:r w:rsidR="008A7505" w:rsidRPr="00C275B3">
        <w:rPr>
          <w:rFonts w:ascii="Times New Roman" w:hAnsi="Times New Roman"/>
          <w:bCs/>
          <w:sz w:val="24"/>
          <w:szCs w:val="24"/>
        </w:rPr>
        <w:t>Defense articles include technical data recorded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  <w:r w:rsidR="008A7505" w:rsidRPr="00C275B3">
        <w:rPr>
          <w:rFonts w:ascii="Times New Roman" w:hAnsi="Times New Roman"/>
          <w:bCs/>
          <w:sz w:val="24"/>
          <w:szCs w:val="24"/>
        </w:rPr>
        <w:t>or stored in any physical form, models, mockups, or other items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  <w:r w:rsidR="008A7505" w:rsidRPr="00C275B3">
        <w:rPr>
          <w:rFonts w:ascii="Times New Roman" w:hAnsi="Times New Roman"/>
          <w:bCs/>
          <w:sz w:val="24"/>
          <w:szCs w:val="24"/>
        </w:rPr>
        <w:t>that reveal technical data relating to the item.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</w:p>
    <w:p w14:paraId="114602CD" w14:textId="77777777" w:rsidR="00854E8A" w:rsidRDefault="00C41A49" w:rsidP="009172B9">
      <w:pPr>
        <w:spacing w:before="240" w:line="240" w:lineRule="auto"/>
        <w:ind w:left="216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(b)</w:t>
      </w:r>
      <w:r>
        <w:rPr>
          <w:rFonts w:ascii="Times New Roman" w:hAnsi="Times New Roman"/>
          <w:bCs/>
          <w:sz w:val="24"/>
          <w:szCs w:val="24"/>
        </w:rPr>
        <w:tab/>
      </w:r>
      <w:r w:rsidR="00F37BA4">
        <w:rPr>
          <w:rFonts w:ascii="Times New Roman" w:hAnsi="Times New Roman"/>
          <w:bCs/>
          <w:sz w:val="24"/>
          <w:szCs w:val="24"/>
        </w:rPr>
        <w:t>Forgings, castings, and other unfinished products, such as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  <w:r w:rsidR="00F37BA4">
        <w:rPr>
          <w:rFonts w:ascii="Times New Roman" w:hAnsi="Times New Roman"/>
          <w:bCs/>
          <w:sz w:val="24"/>
          <w:szCs w:val="24"/>
        </w:rPr>
        <w:t>extrusions and machined bodies, that have reached a stage in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  <w:r w:rsidR="00F37BA4">
        <w:rPr>
          <w:rFonts w:ascii="Times New Roman" w:hAnsi="Times New Roman"/>
          <w:bCs/>
          <w:sz w:val="24"/>
          <w:szCs w:val="24"/>
        </w:rPr>
        <w:t>manufacturin</w:t>
      </w:r>
      <w:r w:rsidR="00EA5BDF">
        <w:rPr>
          <w:rFonts w:ascii="Times New Roman" w:hAnsi="Times New Roman"/>
          <w:bCs/>
          <w:sz w:val="24"/>
          <w:szCs w:val="24"/>
        </w:rPr>
        <w:t>g where they are clearly identifiable by</w:t>
      </w:r>
      <w:r w:rsidR="00D403E4">
        <w:rPr>
          <w:rFonts w:ascii="Times New Roman" w:hAnsi="Times New Roman"/>
          <w:bCs/>
          <w:sz w:val="24"/>
          <w:szCs w:val="24"/>
        </w:rPr>
        <w:t xml:space="preserve"> mechanical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  <w:r w:rsidR="00D403E4">
        <w:rPr>
          <w:rFonts w:ascii="Times New Roman" w:hAnsi="Times New Roman"/>
          <w:bCs/>
          <w:sz w:val="24"/>
          <w:szCs w:val="24"/>
        </w:rPr>
        <w:t>properties, material composition, geometry, or function as defense</w:t>
      </w:r>
      <w:r w:rsidR="00583F65">
        <w:rPr>
          <w:rFonts w:ascii="Times New Roman" w:hAnsi="Times New Roman"/>
          <w:bCs/>
          <w:sz w:val="24"/>
          <w:szCs w:val="24"/>
        </w:rPr>
        <w:t xml:space="preserve"> </w:t>
      </w:r>
      <w:r w:rsidR="00D403E4">
        <w:rPr>
          <w:rFonts w:ascii="Times New Roman" w:hAnsi="Times New Roman"/>
          <w:bCs/>
          <w:sz w:val="24"/>
          <w:szCs w:val="24"/>
        </w:rPr>
        <w:t>articles.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DCC951C" w14:textId="714FD017" w:rsidR="009172B9" w:rsidRDefault="008A7505" w:rsidP="009172B9">
      <w:pPr>
        <w:spacing w:before="240" w:line="240" w:lineRule="auto"/>
        <w:ind w:left="2160"/>
        <w:rPr>
          <w:rFonts w:ascii="Times New Roman" w:hAnsi="Times New Roman"/>
          <w:bCs/>
          <w:sz w:val="24"/>
          <w:szCs w:val="24"/>
        </w:rPr>
      </w:pPr>
      <w:r w:rsidRPr="00C275B3">
        <w:rPr>
          <w:rFonts w:ascii="Times New Roman" w:hAnsi="Times New Roman"/>
          <w:bCs/>
          <w:sz w:val="24"/>
          <w:szCs w:val="24"/>
        </w:rPr>
        <w:t>It does not inclu</w:t>
      </w:r>
      <w:r w:rsidR="009172B9">
        <w:rPr>
          <w:rFonts w:ascii="Times New Roman" w:hAnsi="Times New Roman"/>
          <w:bCs/>
          <w:sz w:val="24"/>
          <w:szCs w:val="24"/>
        </w:rPr>
        <w:t xml:space="preserve">de </w:t>
      </w:r>
      <w:r w:rsidR="00EF5CF8">
        <w:rPr>
          <w:rFonts w:ascii="Times New Roman" w:hAnsi="Times New Roman"/>
          <w:bCs/>
          <w:sz w:val="24"/>
          <w:szCs w:val="24"/>
        </w:rPr>
        <w:t>basic marketing information or general system descriptions (22 C.F.R.</w:t>
      </w:r>
      <w:r w:rsidR="00EF5CF8" w:rsidRPr="00C57BE8">
        <w:rPr>
          <w:rFonts w:ascii="Times New Roman" w:hAnsi="Times New Roman"/>
          <w:bCs/>
          <w:sz w:val="24"/>
          <w:szCs w:val="24"/>
        </w:rPr>
        <w:t>120.31</w:t>
      </w:r>
      <w:r w:rsidR="00EF5CF8">
        <w:rPr>
          <w:rFonts w:ascii="Times New Roman" w:hAnsi="Times New Roman"/>
          <w:bCs/>
          <w:sz w:val="24"/>
          <w:szCs w:val="24"/>
        </w:rPr>
        <w:t>).</w:t>
      </w:r>
    </w:p>
    <w:p w14:paraId="59866B35" w14:textId="70D56CA6" w:rsidR="008A7505" w:rsidRPr="003709A4" w:rsidRDefault="009376BF" w:rsidP="008573F9">
      <w:pPr>
        <w:spacing w:before="240" w:line="240" w:lineRule="auto"/>
        <w:ind w:left="1440" w:hanging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(4)</w:t>
      </w:r>
      <w:r>
        <w:rPr>
          <w:rFonts w:ascii="Times New Roman" w:hAnsi="Times New Roman"/>
          <w:bCs/>
          <w:sz w:val="24"/>
          <w:szCs w:val="24"/>
        </w:rPr>
        <w:tab/>
        <w:t>“Dual use.”  Items, information, and software that</w:t>
      </w:r>
      <w:r w:rsidR="00073E6E">
        <w:rPr>
          <w:rFonts w:ascii="Times New Roman" w:hAnsi="Times New Roman"/>
          <w:bCs/>
          <w:sz w:val="24"/>
          <w:szCs w:val="24"/>
        </w:rPr>
        <w:t xml:space="preserve"> </w:t>
      </w:r>
      <w:r w:rsidR="2B589C3A" w:rsidRPr="2E00409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AA223E" w:rsidRPr="2E00409B">
        <w:rPr>
          <w:rFonts w:ascii="Times New Roman" w:eastAsia="Times New Roman" w:hAnsi="Times New Roman" w:cs="Times New Roman"/>
          <w:sz w:val="24"/>
          <w:szCs w:val="24"/>
        </w:rPr>
        <w:t xml:space="preserve"> civil applications as</w:t>
      </w:r>
      <w:r w:rsidR="0037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23E" w:rsidRPr="2E00409B">
        <w:rPr>
          <w:rFonts w:ascii="Times New Roman" w:eastAsia="Times New Roman" w:hAnsi="Times New Roman" w:cs="Times New Roman"/>
          <w:sz w:val="24"/>
          <w:szCs w:val="24"/>
        </w:rPr>
        <w:t>well as terrorism and military or weapons of mass destruct</w:t>
      </w:r>
      <w:r w:rsidR="00A730A5" w:rsidRPr="2E00409B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073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0A5" w:rsidRPr="2E00409B">
        <w:rPr>
          <w:rFonts w:ascii="Times New Roman" w:eastAsia="Times New Roman" w:hAnsi="Times New Roman" w:cs="Times New Roman"/>
          <w:sz w:val="24"/>
          <w:szCs w:val="24"/>
        </w:rPr>
        <w:t>(WMD)</w:t>
      </w:r>
      <w:r w:rsidR="0011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0A5" w:rsidRPr="2E00409B">
        <w:rPr>
          <w:rFonts w:ascii="Times New Roman" w:eastAsia="Times New Roman" w:hAnsi="Times New Roman" w:cs="Times New Roman"/>
          <w:sz w:val="24"/>
          <w:szCs w:val="24"/>
        </w:rPr>
        <w:t>related applications (15 C.F.R. 730.3)</w:t>
      </w:r>
      <w:r w:rsidR="00152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BC72B" w14:textId="33CA2097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2E00409B"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tab/>
      </w:r>
      <w:r w:rsidR="00C8467E" w:rsidRPr="2E00409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EAR.</w:t>
      </w:r>
      <w:r w:rsidR="00C8467E" w:rsidRPr="2E00409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 Export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dministration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egulations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 xml:space="preserve"> (EAR)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, administered by the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epartment of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ommerce through the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b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ureau of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ndustry and 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s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ecurity (BIS) (15 C.F.R. 730-774)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regulates commercial and dual</w:t>
      </w:r>
      <w:r w:rsidR="00C75FE3" w:rsidRPr="2E004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 items, technology, and software identified in the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ommerce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ontrol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l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ist (CCL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(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15 C.F.R. 774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7BDCBE" w14:textId="1A70BDAA" w:rsidR="008A7505" w:rsidRPr="008A7505" w:rsidRDefault="008A7505" w:rsidP="00A749C0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(6)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Educational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nformation.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Information that is commonly taught in catalog courses and associated teaching laboratories of academic institutions.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not subject to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 regulations.</w:t>
      </w:r>
    </w:p>
    <w:p w14:paraId="1E1F74ED" w14:textId="0926223C" w:rsidR="008A7505" w:rsidRPr="008A7505" w:rsidRDefault="008A7505" w:rsidP="00F85911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(7)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Export.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Any item (</w:t>
      </w:r>
      <w:r w:rsidR="00674C92">
        <w:rPr>
          <w:rFonts w:ascii="Times New Roman" w:eastAsia="Times New Roman" w:hAnsi="Times New Roman" w:cs="Times New Roman"/>
          <w:bCs/>
          <w:sz w:val="24"/>
          <w:szCs w:val="24"/>
        </w:rPr>
        <w:t xml:space="preserve">goods,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commodity, software, technology, equipment, software, or information) sent from the U.S. to a foreign destination is considered an export.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Examples of exports include the actual shipment of goods as well as the transfer of written documents or information via email, phone, fax,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nternet postings, verbal/personal conversations and meetings</w:t>
      </w:r>
      <w:r w:rsidR="006C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outside and inside the U.S</w:t>
      </w:r>
      <w:r w:rsidR="00F859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FE49F8B" w14:textId="7E1C4E95" w:rsidR="008A7505" w:rsidRPr="008A7505" w:rsidRDefault="008A7505" w:rsidP="007C4651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(8)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Export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icense.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 written authorization provided by the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appropriate governing regulatory authority detailing specific terms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and conditions allowing the export or re-export of a controlled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item(s).</w:t>
      </w:r>
    </w:p>
    <w:p w14:paraId="7AA2F680" w14:textId="77777777" w:rsidR="00301E18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(9)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Foreign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erson or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ntity.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Anyone who is not a U.S. person. This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includes individuals as well as any foreign corporation, business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association, partnership, trust, society, or any other foreign entity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or group, including international organizations and foreign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governments, not incorporated or organized to do business in the</w:t>
      </w:r>
      <w:r w:rsidR="00301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U.S. </w:t>
      </w:r>
    </w:p>
    <w:p w14:paraId="54B88ADA" w14:textId="639C8802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(10)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Fundamental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esearch.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Any “basic and applied research in</w:t>
      </w:r>
      <w:r w:rsidR="00AC21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science and engineering, the results of which are ordinarily</w:t>
      </w:r>
      <w:r w:rsidR="00AC21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published and shared broadly within the scientific community…”</w:t>
      </w:r>
      <w:r w:rsidR="00AC21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Information that results from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undamental </w:t>
      </w:r>
      <w:r w:rsidR="00C8467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esearch is not subject to</w:t>
      </w:r>
      <w:r w:rsidR="00AC21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regulations under the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undamental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esearch</w:t>
      </w:r>
      <w:r w:rsidR="00AC21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xclusion (FRE).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See </w:t>
      </w:r>
      <w:hyperlink r:id="rId11" w:history="1">
        <w:r w:rsidR="00A662B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national security decision directive 189</w:t>
        </w:r>
      </w:hyperlink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 xml:space="preserve">(NSDD)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for more information.</w:t>
      </w:r>
    </w:p>
    <w:p w14:paraId="7868EFEB" w14:textId="210180AB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2E00409B">
        <w:rPr>
          <w:rFonts w:ascii="Times New Roman" w:eastAsia="Times New Roman" w:hAnsi="Times New Roman" w:cs="Times New Roman"/>
          <w:sz w:val="24"/>
          <w:szCs w:val="24"/>
        </w:rPr>
        <w:t>(11)</w:t>
      </w:r>
      <w:r>
        <w:tab/>
      </w:r>
      <w:r w:rsidR="00DD7543" w:rsidRPr="2E00409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ITAR.</w:t>
      </w:r>
      <w:r w:rsidR="00DD7543" w:rsidRPr="2E00409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 International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raffic in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rms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egulations, administered by the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s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epartment through the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irectorate of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efense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rade 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ontrols (DDTC) (22 C.F.R. 120-130)</w:t>
      </w:r>
      <w:r w:rsidR="00E23B9C" w:rsidRPr="2E0040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 regulates the export of articles and services that are inherently military in nature. </w:t>
      </w:r>
    </w:p>
    <w:p w14:paraId="6CC8F3CB" w14:textId="77777777" w:rsidR="008A7505" w:rsidRPr="008A7505" w:rsidRDefault="008A7505" w:rsidP="00DF2804">
      <w:pPr>
        <w:widowControl w:val="0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8E8279" w14:textId="7ECC7C63" w:rsidR="008A7505" w:rsidRPr="008A7505" w:rsidRDefault="008A7505" w:rsidP="006E5A2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(12)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Re-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xport.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An actual shipment or transmission of a controlled export, software, or information subject to the EAR or ITAR from one foreign country to another foreign country, including the sending or taking of a defense article to or from such countries in any manner. </w:t>
      </w:r>
    </w:p>
    <w:p w14:paraId="253054AB" w14:textId="5663D307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(13)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Technology 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lan (TCP).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 internal university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compliance document that is prepared by the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 of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esearch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ervices (ORS)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subject to review by the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 of </w:t>
      </w:r>
      <w:r w:rsidR="0002746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eneral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543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ounsel.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 plan outlines the security measures to be taken by the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principal investigator (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PI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ensure that access to the export-controlled information is controlled and managed.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 TCP is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signed by the PI and all who are working on the project.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Once in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place, it is the responsibility of the PI to ensure that all of the</w:t>
      </w:r>
      <w:r w:rsidR="006E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security measures listed to safeguard the controlled information or technology are enforced.</w:t>
      </w:r>
    </w:p>
    <w:p w14:paraId="5E612603" w14:textId="0B1756F3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(14)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U.S. 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erson or 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ntity.</w:t>
      </w:r>
      <w:r w:rsidR="001254B1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Any U.S. citizen, a lawful, permanent resident of the U.S., </w:t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reen </w:t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ardholder, refugee</w:t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asylum seeker</w:t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wherever that person is located.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U.S. incorporated</w:t>
      </w:r>
      <w:r w:rsidR="0081781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or</w:t>
      </w:r>
    </w:p>
    <w:p w14:paraId="1A5C17B0" w14:textId="7268664C" w:rsidR="008A7505" w:rsidRPr="008A7505" w:rsidRDefault="008A7505" w:rsidP="005F0F8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(15)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U.S. Munitions List (USML).</w:t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 list of articles, services, and related technical data designated as defense and space</w:t>
      </w:r>
      <w:r w:rsidR="00003A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related by the United States federal government and are subject to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laws and regulations.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USML is subject to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regulations under ITAR.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 list can be found</w:t>
      </w:r>
      <w:r w:rsidR="006E74C9">
        <w:rPr>
          <w:rFonts w:ascii="Times New Roman" w:eastAsia="Times New Roman" w:hAnsi="Times New Roman" w:cs="Times New Roman"/>
          <w:bCs/>
          <w:sz w:val="24"/>
          <w:szCs w:val="24"/>
        </w:rPr>
        <w:t xml:space="preserve"> at</w:t>
      </w:r>
      <w:r w:rsidR="002931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6F076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code of federal regulations</w:t>
        </w:r>
      </w:hyperlink>
      <w:r w:rsidR="002463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CD979E" w14:textId="2C60400F" w:rsidR="008A7505" w:rsidRPr="008A7505" w:rsidRDefault="008A7505" w:rsidP="005F0F8C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(E)</w:t>
      </w:r>
      <w:r>
        <w:tab/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Federal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dministration.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There are three primary departments that oversee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and enforce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regulations: </w:t>
      </w:r>
      <w:r w:rsidR="00BA1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epartment of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ommerce, the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tate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epartment, and the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reasury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epartment. </w:t>
      </w:r>
    </w:p>
    <w:p w14:paraId="5977B2F3" w14:textId="5B2A23EB" w:rsidR="008A7505" w:rsidRPr="008A7505" w:rsidRDefault="008A7505" w:rsidP="00DF2804">
      <w:pPr>
        <w:widowControl w:val="0"/>
        <w:spacing w:before="24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(1) 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epartment of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ommerce</w:t>
      </w:r>
      <w:r w:rsidR="005F0F8C" w:rsidRPr="00DE14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B5358E" w14:textId="61B175EF" w:rsidR="008A7505" w:rsidRPr="008A7505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Administers the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dministration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 xml:space="preserve">(EAR) </w:t>
      </w:r>
      <w:r w:rsidR="00E23B9C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egulations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 the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ureau of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ndustry and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ecurity</w:t>
      </w:r>
      <w:r w:rsidR="005F0F8C" w:rsidRPr="00DE14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660F09" w14:textId="2AB351B0" w:rsidR="008A7505" w:rsidRPr="008A7505" w:rsidRDefault="008A7505" w:rsidP="00DF2804">
      <w:pPr>
        <w:widowControl w:val="0"/>
        <w:spacing w:before="24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>EAR is codified in 15 C.F.R. 730-774</w:t>
      </w:r>
      <w:r w:rsidR="005F0F8C" w:rsidRPr="00DE14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177C52" w14:textId="6E48510E" w:rsidR="008A7505" w:rsidRPr="008A7505" w:rsidRDefault="008A7505" w:rsidP="005F0F8C">
      <w:pPr>
        <w:widowControl w:val="0"/>
        <w:spacing w:before="24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Controls the export of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ual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se items</w:t>
      </w:r>
      <w:r w:rsidR="005F0F8C" w:rsidRPr="00DE14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AABF9B8" w14:textId="19F9AB1B" w:rsidR="008A7505" w:rsidRPr="008A7505" w:rsidRDefault="008A7505" w:rsidP="00DF2804">
      <w:pPr>
        <w:widowControl w:val="0"/>
        <w:spacing w:before="24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tate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epartment</w:t>
      </w:r>
      <w:r w:rsidR="005F0F8C" w:rsidRPr="00DE14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E2180" w14:textId="12E06BA9" w:rsidR="008A7505" w:rsidRPr="008A7505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2E00409B">
        <w:rPr>
          <w:rFonts w:ascii="Times New Roman" w:eastAsia="Times New Roman" w:hAnsi="Times New Roman" w:cs="Times New Roman"/>
          <w:sz w:val="24"/>
          <w:szCs w:val="24"/>
        </w:rPr>
        <w:lastRenderedPageBreak/>
        <w:t>(a)</w:t>
      </w:r>
      <w:r>
        <w:tab/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Administers the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nternational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raffic in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rms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egulations</w:t>
      </w:r>
      <w:r w:rsidR="005F0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(ITAR) through the </w:t>
      </w:r>
      <w:r w:rsidR="00236100" w:rsidRPr="2E004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irectorate of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efense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 xml:space="preserve">rade </w:t>
      </w:r>
      <w:r w:rsidR="00EC3DDE" w:rsidRPr="2E0040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2E00409B">
        <w:rPr>
          <w:rFonts w:ascii="Times New Roman" w:eastAsia="Times New Roman" w:hAnsi="Times New Roman" w:cs="Times New Roman"/>
          <w:sz w:val="24"/>
          <w:szCs w:val="24"/>
        </w:rPr>
        <w:t>ontrols</w:t>
      </w:r>
      <w:r w:rsidR="005F0F8C" w:rsidRPr="00BE7B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1BAEF" w14:textId="729510D1" w:rsidR="008A7505" w:rsidRPr="008A7505" w:rsidRDefault="008A7505" w:rsidP="00DF2804">
      <w:pPr>
        <w:widowControl w:val="0"/>
        <w:spacing w:before="24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(b)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>ITAR is codified in 22 C.F.R. 120-130</w:t>
      </w:r>
      <w:r w:rsidR="005F0F8C" w:rsidRPr="00BE7B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275DD7" w14:textId="1B0AFB74" w:rsidR="008A7505" w:rsidRPr="008A7505" w:rsidRDefault="008A7505" w:rsidP="005F0F8C">
      <w:pPr>
        <w:widowControl w:val="0"/>
        <w:spacing w:before="24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>Controls the export of military and space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related items</w:t>
      </w:r>
      <w:r w:rsidR="005F0F8C" w:rsidRPr="00BE7B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092EB4" w14:textId="5CF00297" w:rsidR="008A7505" w:rsidRPr="008A7505" w:rsidRDefault="008A7505" w:rsidP="00DF2804">
      <w:pPr>
        <w:widowControl w:val="0"/>
        <w:spacing w:before="24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(3)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reasury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epartment</w:t>
      </w:r>
      <w:r w:rsidR="005F0F8C" w:rsidRPr="00BE7B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B2572E" w14:textId="740F826E" w:rsidR="008A7505" w:rsidRPr="005F0F8C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Manages and enforces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through the </w:t>
      </w:r>
      <w:hyperlink r:id="rId13" w:history="1">
        <w:r w:rsidR="00236100"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o</w:t>
        </w:r>
        <w:r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ffice of </w:t>
        </w:r>
        <w:r w:rsidR="00236100"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f</w:t>
        </w:r>
        <w:r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oreign </w:t>
        </w:r>
        <w:r w:rsidR="00236100"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a</w:t>
        </w:r>
        <w:r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ssets </w:t>
        </w:r>
        <w:r w:rsidR="00236100"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</w:t>
        </w:r>
        <w:r w:rsidRPr="00EC3D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ontrol</w:t>
        </w:r>
      </w:hyperlink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 xml:space="preserve"> (OFAC)</w:t>
      </w:r>
      <w:r w:rsidR="005F0F8C" w:rsidRPr="00BE7B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2EFF31" w14:textId="4FA4B5B0" w:rsidR="008A7505" w:rsidRPr="008A7505" w:rsidRDefault="008A7505" w:rsidP="005F0F8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>Enforces and oversees regulations related to embargoed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and/or sanctioned countries and people and entities from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those countries</w:t>
      </w:r>
      <w:r w:rsidR="005F0F8C"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07AA7C" w14:textId="55821572" w:rsidR="008A7505" w:rsidRPr="008A7505" w:rsidRDefault="008A7505" w:rsidP="00DF2804">
      <w:pPr>
        <w:widowControl w:val="0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(F)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Compliance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oles and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esponsibilities</w:t>
      </w:r>
      <w:r w:rsidR="005F0F8C"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7E0FEB2" w14:textId="0B63A3E3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All personnel within the scope of this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olicy are responsible for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ensuring that their educational, research, service and other business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activities are conducted properly and in compliance with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xport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 regulations, all requirements of this policy, related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procedures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any TCP on which they are included</w:t>
      </w:r>
      <w:r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F1AF5C0" w14:textId="644A3298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rovost or their designee shall serve as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mpowered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fficial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 xml:space="preserve">(EO) </w:t>
      </w:r>
      <w:r w:rsidR="00120517">
        <w:rPr>
          <w:rFonts w:ascii="Times New Roman" w:eastAsia="Times New Roman" w:hAnsi="Times New Roman" w:cs="Times New Roman"/>
          <w:bCs/>
          <w:sz w:val="24"/>
          <w:szCs w:val="24"/>
        </w:rPr>
        <w:t>(22 C.F.R. Part 120.67)</w:t>
      </w:r>
      <w:r w:rsidR="00D757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of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niversity in all matters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related to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ontrol.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 EO has the responsibility, power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and authority to:</w:t>
      </w:r>
    </w:p>
    <w:p w14:paraId="522FF1D3" w14:textId="6667FE25" w:rsidR="008A7505" w:rsidRPr="008A7505" w:rsidRDefault="008A7505" w:rsidP="005F0F8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Serve as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niversity’s point of contact for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matters</w:t>
      </w:r>
      <w:r w:rsidR="005F0F8C"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91857B" w14:textId="4BD7EA9B" w:rsidR="008A7505" w:rsidRPr="008A7505" w:rsidRDefault="008A7505" w:rsidP="00DF2804">
      <w:pPr>
        <w:widowControl w:val="0"/>
        <w:spacing w:before="24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Represent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niversity before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 regulators</w:t>
      </w:r>
      <w:r w:rsidR="005F0F8C"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20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CC04571" w14:textId="54ADEE52" w:rsidR="008A7505" w:rsidRPr="008A7505" w:rsidRDefault="008A7505" w:rsidP="005F0F8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Sign paperwork binding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niversity in any proceedings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before the DDTC, BIS, OFAC, or any government agency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with export control responsibilities</w:t>
      </w:r>
      <w:r w:rsidR="005F0F8C"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F47B66" w14:textId="24205C06" w:rsidR="008A7505" w:rsidRPr="008A7505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(d)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Sign export license applications or other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</w:t>
      </w:r>
      <w:r w:rsidR="005F0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related requests</w:t>
      </w:r>
      <w:r w:rsidR="002250B8" w:rsidRPr="009A20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C61B6E" w14:textId="22A7EAE2" w:rsidR="008A7505" w:rsidRPr="008A7505" w:rsidRDefault="008A7505" w:rsidP="002250B8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(e)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Coordinate with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 of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eneral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ounsel regarding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legality of any proposed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 activity or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transaction</w:t>
      </w:r>
      <w:r w:rsidR="002250B8" w:rsidRPr="009A20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31ED94A" w14:textId="17C94551" w:rsidR="008A7505" w:rsidRPr="008A7505" w:rsidRDefault="008A7505" w:rsidP="00DF2804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(3)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irector of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 of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esearch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ervices shall serve as the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ontrol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fficer (ECO) for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niversity. </w:t>
      </w:r>
      <w:r w:rsidR="00A82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 ECO has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the responsibility, power, and authority to:</w:t>
      </w:r>
    </w:p>
    <w:p w14:paraId="2D4D6565" w14:textId="5858ACE9" w:rsidR="008A7505" w:rsidRPr="008A7505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Implement procedures to ensure compliance with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xport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 regulations and this policy</w:t>
      </w:r>
      <w:r w:rsidR="002250B8" w:rsidRPr="001D07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8FE0F21" w14:textId="6EFE7DD4" w:rsidR="008A7505" w:rsidRPr="008A7505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Develop, conduct, and oversee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niversity trainings related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</w:t>
      </w:r>
      <w:r w:rsidR="002250B8" w:rsidRPr="001D07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24F850" w14:textId="3964BE3E" w:rsidR="008A7505" w:rsidRPr="008A7505" w:rsidRDefault="008A7505" w:rsidP="00DF2804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>Work in conjunction with sponsored program officers,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niversity department administrators, units,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human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 xml:space="preserve">resource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staff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 of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the g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eneral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ounsel to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facilitate compliance</w:t>
      </w:r>
      <w:r w:rsidR="002250B8" w:rsidRPr="001D07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86A844" w14:textId="6493967A" w:rsidR="008A7505" w:rsidRPr="008A7505" w:rsidRDefault="008A7505" w:rsidP="002250B8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(4)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Failure to comply with the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 policy or regulations may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result in substantial civil and criminal penalties to the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niversity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and specific individual(s) involved, as well as administrative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sanctions resulting in potential loss of federal funding and export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privileges.</w:t>
      </w:r>
    </w:p>
    <w:p w14:paraId="517B6A9F" w14:textId="690DFC5A" w:rsidR="00B279C0" w:rsidRPr="002923BF" w:rsidRDefault="008A7505" w:rsidP="002923BF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(G)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Procedures. </w:t>
      </w:r>
      <w:r w:rsidR="00A82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Procedures and other information concerning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xport </w:t>
      </w:r>
      <w:r w:rsidR="00EC3D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ontrol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laws and regulations, including regulations in fundamental research and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educational information, are available in the </w:t>
      </w:r>
      <w:r w:rsidR="00236100" w:rsidRPr="00A02DC8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A02DC8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 of </w:t>
      </w:r>
      <w:r w:rsidR="00236100" w:rsidRPr="00A02DC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A02DC8">
        <w:rPr>
          <w:rFonts w:ascii="Times New Roman" w:eastAsia="Times New Roman" w:hAnsi="Times New Roman" w:cs="Times New Roman"/>
          <w:bCs/>
          <w:sz w:val="24"/>
          <w:szCs w:val="24"/>
        </w:rPr>
        <w:t xml:space="preserve">esearch </w:t>
      </w:r>
      <w:r w:rsidR="00236100" w:rsidRPr="00A02DC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A02DC8">
        <w:rPr>
          <w:rFonts w:ascii="Times New Roman" w:eastAsia="Times New Roman" w:hAnsi="Times New Roman" w:cs="Times New Roman"/>
          <w:bCs/>
          <w:sz w:val="24"/>
          <w:szCs w:val="24"/>
        </w:rPr>
        <w:t>ervices</w:t>
      </w:r>
      <w:r w:rsidR="00225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A7505">
        <w:rPr>
          <w:rFonts w:ascii="Times New Roman" w:eastAsia="Times New Roman" w:hAnsi="Times New Roman" w:cs="Times New Roman"/>
          <w:bCs/>
          <w:sz w:val="24"/>
          <w:szCs w:val="24"/>
        </w:rPr>
        <w:t>PI Handbook</w:t>
      </w:r>
      <w:r w:rsidR="006E74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36100">
        <w:rPr>
          <w:rFonts w:ascii="Times New Roman" w:eastAsia="Times New Roman" w:hAnsi="Times New Roman" w:cs="Times New Roman"/>
          <w:bCs/>
          <w:sz w:val="24"/>
          <w:szCs w:val="24"/>
        </w:rPr>
        <w:t>” found</w:t>
      </w:r>
      <w:r w:rsidR="00A02D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74C9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hyperlink r:id="rId14" w:history="1">
        <w:r w:rsidR="00086A8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office of research services</w:t>
        </w:r>
      </w:hyperlink>
      <w:r w:rsidR="00A02D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B279C0" w:rsidRPr="002923BF" w:rsidSect="00854AC6">
      <w:headerReference w:type="even" r:id="rId15"/>
      <w:headerReference w:type="default" r:id="rId16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F713" w14:textId="77777777" w:rsidR="00875012" w:rsidRDefault="00875012">
      <w:pPr>
        <w:spacing w:after="0" w:line="240" w:lineRule="auto"/>
      </w:pPr>
      <w:r>
        <w:separator/>
      </w:r>
    </w:p>
  </w:endnote>
  <w:endnote w:type="continuationSeparator" w:id="0">
    <w:p w14:paraId="4418889D" w14:textId="77777777" w:rsidR="00875012" w:rsidRDefault="00875012">
      <w:pPr>
        <w:spacing w:after="0" w:line="240" w:lineRule="auto"/>
      </w:pPr>
      <w:r>
        <w:continuationSeparator/>
      </w:r>
    </w:p>
  </w:endnote>
  <w:endnote w:type="continuationNotice" w:id="1">
    <w:p w14:paraId="671404C8" w14:textId="77777777" w:rsidR="00875012" w:rsidRDefault="00875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85D39" w14:textId="77777777" w:rsidR="00875012" w:rsidRDefault="00875012">
      <w:pPr>
        <w:spacing w:after="0" w:line="240" w:lineRule="auto"/>
      </w:pPr>
      <w:r>
        <w:separator/>
      </w:r>
    </w:p>
  </w:footnote>
  <w:footnote w:type="continuationSeparator" w:id="0">
    <w:p w14:paraId="43461C0D" w14:textId="77777777" w:rsidR="00875012" w:rsidRDefault="00875012">
      <w:pPr>
        <w:spacing w:after="0" w:line="240" w:lineRule="auto"/>
      </w:pPr>
      <w:r>
        <w:continuationSeparator/>
      </w:r>
    </w:p>
  </w:footnote>
  <w:footnote w:type="continuationNotice" w:id="1">
    <w:p w14:paraId="19AAE7B0" w14:textId="77777777" w:rsidR="00875012" w:rsidRDefault="00875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33F4" w14:textId="77777777" w:rsidR="00B279C0" w:rsidRDefault="004A74E5" w:rsidP="00854A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2015E" w14:textId="77777777" w:rsidR="00B279C0" w:rsidRDefault="00B279C0" w:rsidP="00854A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A645" w14:textId="77777777" w:rsidR="00B279C0" w:rsidRDefault="004A74E5" w:rsidP="00854A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4C9">
      <w:rPr>
        <w:rStyle w:val="PageNumber"/>
        <w:noProof/>
      </w:rPr>
      <w:t>6</w:t>
    </w:r>
    <w:r>
      <w:rPr>
        <w:rStyle w:val="PageNumber"/>
      </w:rPr>
      <w:fldChar w:fldCharType="end"/>
    </w:r>
  </w:p>
  <w:p w14:paraId="694275FD" w14:textId="77777777" w:rsidR="00B279C0" w:rsidRDefault="00470F2D" w:rsidP="00854AC6">
    <w:pPr>
      <w:pStyle w:val="Header"/>
      <w:ind w:right="360"/>
    </w:pPr>
    <w:r>
      <w:t>3356-10-24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51F1"/>
    <w:multiLevelType w:val="hybridMultilevel"/>
    <w:tmpl w:val="77928CF6"/>
    <w:lvl w:ilvl="0" w:tplc="988A519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7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BF"/>
    <w:rsid w:val="00003AAD"/>
    <w:rsid w:val="00020B2B"/>
    <w:rsid w:val="0002746D"/>
    <w:rsid w:val="00027A6A"/>
    <w:rsid w:val="00043F78"/>
    <w:rsid w:val="00062A9E"/>
    <w:rsid w:val="00073E6E"/>
    <w:rsid w:val="00086A8C"/>
    <w:rsid w:val="00117266"/>
    <w:rsid w:val="00120517"/>
    <w:rsid w:val="001254B1"/>
    <w:rsid w:val="00151D64"/>
    <w:rsid w:val="00152BFF"/>
    <w:rsid w:val="001C2D8B"/>
    <w:rsid w:val="001D0729"/>
    <w:rsid w:val="002250B8"/>
    <w:rsid w:val="00236100"/>
    <w:rsid w:val="0024638A"/>
    <w:rsid w:val="00253EA5"/>
    <w:rsid w:val="00286D3F"/>
    <w:rsid w:val="002923BF"/>
    <w:rsid w:val="0029315F"/>
    <w:rsid w:val="002A51AB"/>
    <w:rsid w:val="002C18B9"/>
    <w:rsid w:val="002D3748"/>
    <w:rsid w:val="002E55EC"/>
    <w:rsid w:val="002E75FE"/>
    <w:rsid w:val="002F34AC"/>
    <w:rsid w:val="00301E18"/>
    <w:rsid w:val="003151BC"/>
    <w:rsid w:val="003202EB"/>
    <w:rsid w:val="003709A4"/>
    <w:rsid w:val="00374A12"/>
    <w:rsid w:val="003A0331"/>
    <w:rsid w:val="003E5432"/>
    <w:rsid w:val="00413A72"/>
    <w:rsid w:val="004454DB"/>
    <w:rsid w:val="00470F2D"/>
    <w:rsid w:val="00493DCA"/>
    <w:rsid w:val="004A74E5"/>
    <w:rsid w:val="004C426F"/>
    <w:rsid w:val="004D4B1F"/>
    <w:rsid w:val="005327C3"/>
    <w:rsid w:val="005646BF"/>
    <w:rsid w:val="00583F65"/>
    <w:rsid w:val="00597E86"/>
    <w:rsid w:val="005A6227"/>
    <w:rsid w:val="005B0AD4"/>
    <w:rsid w:val="005E1D44"/>
    <w:rsid w:val="005E5901"/>
    <w:rsid w:val="005E7AE7"/>
    <w:rsid w:val="005F0F8C"/>
    <w:rsid w:val="00674C92"/>
    <w:rsid w:val="00691294"/>
    <w:rsid w:val="00693743"/>
    <w:rsid w:val="006B6824"/>
    <w:rsid w:val="006C40ED"/>
    <w:rsid w:val="006D1433"/>
    <w:rsid w:val="006E5A2D"/>
    <w:rsid w:val="006E74C9"/>
    <w:rsid w:val="006F0767"/>
    <w:rsid w:val="0072241A"/>
    <w:rsid w:val="007445D2"/>
    <w:rsid w:val="00752F90"/>
    <w:rsid w:val="007C25D7"/>
    <w:rsid w:val="007C4651"/>
    <w:rsid w:val="007E5056"/>
    <w:rsid w:val="0081781B"/>
    <w:rsid w:val="008206C9"/>
    <w:rsid w:val="00850CAE"/>
    <w:rsid w:val="00854AC6"/>
    <w:rsid w:val="00854E8A"/>
    <w:rsid w:val="008573F9"/>
    <w:rsid w:val="00875012"/>
    <w:rsid w:val="0087745B"/>
    <w:rsid w:val="008A7505"/>
    <w:rsid w:val="008B2BF3"/>
    <w:rsid w:val="008C59F6"/>
    <w:rsid w:val="008F4A60"/>
    <w:rsid w:val="009172B9"/>
    <w:rsid w:val="009376BF"/>
    <w:rsid w:val="009434D3"/>
    <w:rsid w:val="0095591F"/>
    <w:rsid w:val="009566B0"/>
    <w:rsid w:val="00977AF7"/>
    <w:rsid w:val="009A2001"/>
    <w:rsid w:val="009C577E"/>
    <w:rsid w:val="00A02DC8"/>
    <w:rsid w:val="00A07787"/>
    <w:rsid w:val="00A24F79"/>
    <w:rsid w:val="00A662B6"/>
    <w:rsid w:val="00A730A5"/>
    <w:rsid w:val="00A749C0"/>
    <w:rsid w:val="00A82603"/>
    <w:rsid w:val="00AA223E"/>
    <w:rsid w:val="00AC21A0"/>
    <w:rsid w:val="00AE1C42"/>
    <w:rsid w:val="00AE4243"/>
    <w:rsid w:val="00B02711"/>
    <w:rsid w:val="00B23F4F"/>
    <w:rsid w:val="00B279C0"/>
    <w:rsid w:val="00B41E4C"/>
    <w:rsid w:val="00B62BEA"/>
    <w:rsid w:val="00B7275F"/>
    <w:rsid w:val="00BA1E28"/>
    <w:rsid w:val="00BB2040"/>
    <w:rsid w:val="00BC5FB5"/>
    <w:rsid w:val="00BD080A"/>
    <w:rsid w:val="00BE7B0A"/>
    <w:rsid w:val="00C06331"/>
    <w:rsid w:val="00C06809"/>
    <w:rsid w:val="00C41A49"/>
    <w:rsid w:val="00C57BE8"/>
    <w:rsid w:val="00C75FE3"/>
    <w:rsid w:val="00C77216"/>
    <w:rsid w:val="00C8467E"/>
    <w:rsid w:val="00C87761"/>
    <w:rsid w:val="00CD4AE8"/>
    <w:rsid w:val="00CE7385"/>
    <w:rsid w:val="00D14D0B"/>
    <w:rsid w:val="00D3119F"/>
    <w:rsid w:val="00D403E4"/>
    <w:rsid w:val="00D724D5"/>
    <w:rsid w:val="00D757F4"/>
    <w:rsid w:val="00DB1D08"/>
    <w:rsid w:val="00DD7543"/>
    <w:rsid w:val="00DE1469"/>
    <w:rsid w:val="00DF2804"/>
    <w:rsid w:val="00E23B9C"/>
    <w:rsid w:val="00E33539"/>
    <w:rsid w:val="00E37498"/>
    <w:rsid w:val="00E52051"/>
    <w:rsid w:val="00EA5BDF"/>
    <w:rsid w:val="00EA5CAA"/>
    <w:rsid w:val="00EB3D13"/>
    <w:rsid w:val="00EC104E"/>
    <w:rsid w:val="00EC3DDE"/>
    <w:rsid w:val="00EC6D27"/>
    <w:rsid w:val="00EF5CF8"/>
    <w:rsid w:val="00F030EB"/>
    <w:rsid w:val="00F14D16"/>
    <w:rsid w:val="00F37BA4"/>
    <w:rsid w:val="00F5502C"/>
    <w:rsid w:val="00F70F48"/>
    <w:rsid w:val="00F85911"/>
    <w:rsid w:val="00FA3D7D"/>
    <w:rsid w:val="00FA6AAB"/>
    <w:rsid w:val="00FE3F6F"/>
    <w:rsid w:val="2B589C3A"/>
    <w:rsid w:val="2E00409B"/>
    <w:rsid w:val="4534FD1E"/>
    <w:rsid w:val="5838D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2531"/>
  <w15:chartTrackingRefBased/>
  <w15:docId w15:val="{52EA4DC6-3006-4D14-AA61-7091AA6B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6BF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646BF"/>
    <w:rPr>
      <w:rFonts w:ascii="Garamond" w:hAnsi="Garamond"/>
      <w:sz w:val="24"/>
    </w:rPr>
  </w:style>
  <w:style w:type="character" w:styleId="PageNumber">
    <w:name w:val="page number"/>
    <w:basedOn w:val="DefaultParagraphFont"/>
    <w:rsid w:val="005646BF"/>
  </w:style>
  <w:style w:type="character" w:styleId="Hyperlink">
    <w:name w:val="Hyperlink"/>
    <w:basedOn w:val="DefaultParagraphFont"/>
    <w:uiPriority w:val="99"/>
    <w:unhideWhenUsed/>
    <w:rsid w:val="00236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10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2D"/>
  </w:style>
  <w:style w:type="paragraph" w:styleId="Revision">
    <w:name w:val="Revision"/>
    <w:hidden/>
    <w:uiPriority w:val="99"/>
    <w:semiHidden/>
    <w:rsid w:val="00BB20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27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easury.gov/about/organizational-structure/offices/pages/office-of-foreign-assets-control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p.fas.org/offdocs/nsdd/index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su.edu/research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EE558F9EDA43950C25DAC7917BA8" ma:contentTypeVersion="13" ma:contentTypeDescription="Create a new document." ma:contentTypeScope="" ma:versionID="01210f61d35c23c43e3a5b7973d1cc6d">
  <xsd:schema xmlns:xsd="http://www.w3.org/2001/XMLSchema" xmlns:xs="http://www.w3.org/2001/XMLSchema" xmlns:p="http://schemas.microsoft.com/office/2006/metadata/properties" xmlns:ns2="413f273b-7511-40a5-8613-3e45c0d427bd" xmlns:ns3="4ab9d54d-7512-4dfb-9313-d594a04b4593" targetNamespace="http://schemas.microsoft.com/office/2006/metadata/properties" ma:root="true" ma:fieldsID="c46e772fd99cbd743d1dec77d477da45" ns2:_="" ns3:_="">
    <xsd:import namespace="413f273b-7511-40a5-8613-3e45c0d427bd"/>
    <xsd:import namespace="4ab9d54d-7512-4dfb-9313-d594a04b4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273b-7511-40a5-8613-3e45c0d42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9d54d-7512-4dfb-9313-d594a04b4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8928b0-c9e7-4f3e-ace4-f9e5d5b6de50}" ma:internalName="TaxCatchAll" ma:showField="CatchAllData" ma:web="4ab9d54d-7512-4dfb-9313-d594a04b4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f273b-7511-40a5-8613-3e45c0d427bd">
      <Terms xmlns="http://schemas.microsoft.com/office/infopath/2007/PartnerControls"/>
    </lcf76f155ced4ddcb4097134ff3c332f>
    <TaxCatchAll xmlns="4ab9d54d-7512-4dfb-9313-d594a04b4593" xsi:nil="true"/>
  </documentManagement>
</p:properties>
</file>

<file path=customXml/itemProps1.xml><?xml version="1.0" encoding="utf-8"?>
<ds:datastoreItem xmlns:ds="http://schemas.openxmlformats.org/officeDocument/2006/customXml" ds:itemID="{113CF71F-013F-4A11-BCD6-6074BF08A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268AF-FCFE-4E77-A7F0-EA90165B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f273b-7511-40a5-8613-3e45c0d427bd"/>
    <ds:schemaRef ds:uri="4ab9d54d-7512-4dfb-9313-d594a04b4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78566-1B23-419E-AA7B-39595AF00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78A41-3D8C-407D-8CBA-42482CD34063}">
  <ds:schemaRefs>
    <ds:schemaRef ds:uri="http://schemas.microsoft.com/office/2006/metadata/properties"/>
    <ds:schemaRef ds:uri="http://schemas.microsoft.com/office/infopath/2007/PartnerControls"/>
    <ds:schemaRef ds:uri="413f273b-7511-40a5-8613-3e45c0d427bd"/>
    <ds:schemaRef ds:uri="4ab9d54d-7512-4dfb-9313-d594a04b4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Jusino</dc:creator>
  <cp:keywords/>
  <dc:description/>
  <cp:lastModifiedBy>Mari Jusino</cp:lastModifiedBy>
  <cp:revision>11</cp:revision>
  <cp:lastPrinted>2020-07-29T19:20:00Z</cp:lastPrinted>
  <dcterms:created xsi:type="dcterms:W3CDTF">2025-04-03T14:18:00Z</dcterms:created>
  <dcterms:modified xsi:type="dcterms:W3CDTF">2025-06-30T15:13:00Z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0x01010059BCEE558F9EDA43950C25DAC7917BA8</vt:lpwstr>
  </property>
  <property fmtid="{D5CDD505-2E9C-101B-9397-08002B2CF9AE}" pid="3" name="MediaServiceImageTags">
    <vt:lpwstr/>
  </property>
</Properties>
</file>