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E89D" w14:textId="77777777" w:rsidR="00537B82" w:rsidRPr="00AC0272" w:rsidRDefault="00F45595" w:rsidP="00537B82">
      <w:pPr>
        <w:rPr>
          <w:b/>
          <w:bCs/>
        </w:rPr>
      </w:pPr>
      <w:r w:rsidRPr="00AC0272">
        <w:rPr>
          <w:b/>
          <w:bCs/>
        </w:rPr>
        <w:t>3356-</w:t>
      </w:r>
      <w:r w:rsidR="00537B82" w:rsidRPr="00AC0272">
        <w:rPr>
          <w:b/>
          <w:bCs/>
        </w:rPr>
        <w:t>10-03</w:t>
      </w:r>
      <w:r w:rsidR="00537B82" w:rsidRPr="00AC0272">
        <w:rPr>
          <w:b/>
          <w:bCs/>
        </w:rPr>
        <w:tab/>
        <w:t xml:space="preserve">Affiliated scholars. </w:t>
      </w:r>
    </w:p>
    <w:p w14:paraId="6043E89E" w14:textId="77777777" w:rsidR="00AC0272" w:rsidRPr="00AC0272" w:rsidRDefault="00AC0272" w:rsidP="00AC0272">
      <w:pPr>
        <w:tabs>
          <w:tab w:val="left" w:pos="7200"/>
        </w:tabs>
        <w:spacing w:line="276" w:lineRule="auto"/>
      </w:pPr>
    </w:p>
    <w:p w14:paraId="6043E89F" w14:textId="77777777" w:rsidR="00AC0272" w:rsidRPr="00AC0272" w:rsidRDefault="00AC0272" w:rsidP="00AC0272">
      <w:pPr>
        <w:tabs>
          <w:tab w:val="left" w:pos="3060"/>
          <w:tab w:val="left" w:pos="7200"/>
        </w:tabs>
        <w:spacing w:line="276" w:lineRule="auto"/>
      </w:pPr>
      <w:r w:rsidRPr="00AC0272">
        <w:t>Responsible Division/Office:</w:t>
      </w:r>
      <w:r w:rsidRPr="00AC0272">
        <w:tab/>
      </w:r>
      <w:r w:rsidR="007B37CF">
        <w:t xml:space="preserve">Office of </w:t>
      </w:r>
      <w:r w:rsidR="00D15993">
        <w:t>Academic Affairs</w:t>
      </w:r>
      <w:r w:rsidRPr="00AC0272">
        <w:tab/>
      </w:r>
    </w:p>
    <w:p w14:paraId="6043E8A0" w14:textId="77777777" w:rsidR="00AC0272" w:rsidRPr="00AC0272" w:rsidRDefault="00AC0272" w:rsidP="00AC0272">
      <w:pPr>
        <w:tabs>
          <w:tab w:val="left" w:pos="3060"/>
          <w:tab w:val="left" w:pos="7200"/>
        </w:tabs>
        <w:spacing w:line="276" w:lineRule="auto"/>
      </w:pPr>
      <w:r w:rsidRPr="00AC0272">
        <w:t>Responsible Officer:</w:t>
      </w:r>
      <w:r w:rsidRPr="00AC0272">
        <w:tab/>
      </w:r>
      <w:r>
        <w:t>Provost and VP for Academic Affairs</w:t>
      </w:r>
    </w:p>
    <w:p w14:paraId="6043E8A1" w14:textId="77777777" w:rsidR="007B37CF" w:rsidRDefault="00AC0272" w:rsidP="00AC0272">
      <w:pPr>
        <w:tabs>
          <w:tab w:val="left" w:pos="3060"/>
          <w:tab w:val="left" w:pos="7200"/>
        </w:tabs>
        <w:spacing w:line="276" w:lineRule="auto"/>
      </w:pPr>
      <w:r w:rsidRPr="00AC0272">
        <w:t>Revision History:</w:t>
      </w:r>
      <w:r w:rsidRPr="00AC0272">
        <w:tab/>
      </w:r>
      <w:r>
        <w:t>March 1998; March 2007; March 2011</w:t>
      </w:r>
      <w:r w:rsidR="007B37CF">
        <w:t>;</w:t>
      </w:r>
    </w:p>
    <w:p w14:paraId="6043E8A2" w14:textId="4D069EE1" w:rsidR="00AC0272" w:rsidRPr="00AC0272" w:rsidRDefault="007B37CF" w:rsidP="00AC0272">
      <w:pPr>
        <w:tabs>
          <w:tab w:val="left" w:pos="3060"/>
          <w:tab w:val="left" w:pos="7200"/>
        </w:tabs>
        <w:spacing w:line="276" w:lineRule="auto"/>
      </w:pPr>
      <w:r>
        <w:tab/>
        <w:t>December 2016</w:t>
      </w:r>
      <w:r w:rsidR="00D15993">
        <w:t>; September 2021</w:t>
      </w:r>
      <w:r w:rsidR="00447FEB">
        <w:t>; June 2025</w:t>
      </w:r>
    </w:p>
    <w:p w14:paraId="6043E8A3" w14:textId="77777777" w:rsidR="00AC0272" w:rsidRPr="00AC0272" w:rsidRDefault="00AC0272" w:rsidP="00AC0272">
      <w:pPr>
        <w:tabs>
          <w:tab w:val="left" w:pos="3060"/>
          <w:tab w:val="left" w:pos="7200"/>
        </w:tabs>
        <w:spacing w:line="276" w:lineRule="auto"/>
      </w:pPr>
      <w:r w:rsidRPr="00AC0272">
        <w:t>Board Committee:</w:t>
      </w:r>
      <w:r w:rsidRPr="00AC0272">
        <w:tab/>
      </w:r>
      <w:r>
        <w:t xml:space="preserve">Academic </w:t>
      </w:r>
      <w:r w:rsidR="00D15993">
        <w:t xml:space="preserve">Excellence </w:t>
      </w:r>
      <w:r>
        <w:t xml:space="preserve">and Student </w:t>
      </w:r>
      <w:r w:rsidR="00D15993">
        <w:t>Success</w:t>
      </w:r>
    </w:p>
    <w:p w14:paraId="6043E8A4" w14:textId="4BCDF4B2" w:rsidR="00AC0272" w:rsidRPr="00AC0272" w:rsidRDefault="00AC0272" w:rsidP="00AC0272">
      <w:pPr>
        <w:tabs>
          <w:tab w:val="left" w:pos="3060"/>
          <w:tab w:val="left" w:pos="7200"/>
        </w:tabs>
        <w:spacing w:line="276" w:lineRule="auto"/>
      </w:pPr>
      <w:r w:rsidRPr="00AC0272">
        <w:rPr>
          <w:b/>
        </w:rPr>
        <w:t>Effective Date:</w:t>
      </w:r>
      <w:r w:rsidRPr="00AC0272">
        <w:tab/>
      </w:r>
      <w:r w:rsidR="00447FEB">
        <w:rPr>
          <w:b/>
        </w:rPr>
        <w:t>June 24, 2025</w:t>
      </w:r>
    </w:p>
    <w:p w14:paraId="6043E8A5" w14:textId="772F4664" w:rsidR="00AC0272" w:rsidRPr="00AC0272" w:rsidRDefault="007B37CF" w:rsidP="00AC0272">
      <w:pPr>
        <w:tabs>
          <w:tab w:val="left" w:pos="3060"/>
          <w:tab w:val="left" w:pos="7200"/>
        </w:tabs>
        <w:spacing w:line="276" w:lineRule="auto"/>
      </w:pPr>
      <w:r>
        <w:t>Next Review:</w:t>
      </w:r>
      <w:r>
        <w:tab/>
      </w:r>
      <w:r w:rsidR="00447FEB">
        <w:t>2030</w:t>
      </w:r>
    </w:p>
    <w:p w14:paraId="6043E8A7" w14:textId="7C193150" w:rsidR="00537B82" w:rsidRPr="009546DB" w:rsidRDefault="00AC0272" w:rsidP="009546DB">
      <w:pPr>
        <w:tabs>
          <w:tab w:val="left" w:pos="3060"/>
          <w:tab w:val="left" w:pos="7920"/>
        </w:tabs>
        <w:rPr>
          <w:b/>
          <w:u w:val="single"/>
        </w:rPr>
      </w:pPr>
      <w:r w:rsidRPr="00AC0272">
        <w:rPr>
          <w:b/>
          <w:u w:val="single"/>
        </w:rPr>
        <w:tab/>
      </w:r>
      <w:r w:rsidRPr="00AC0272">
        <w:rPr>
          <w:b/>
          <w:u w:val="single"/>
        </w:rPr>
        <w:tab/>
      </w:r>
    </w:p>
    <w:p w14:paraId="6043E8A9" w14:textId="1435575A" w:rsidR="00A0048A" w:rsidRPr="007B37CF" w:rsidRDefault="00A0048A" w:rsidP="009546DB">
      <w:pPr>
        <w:pStyle w:val="BodyTextIndent"/>
        <w:spacing w:before="240" w:after="240" w:line="276" w:lineRule="auto"/>
      </w:pPr>
      <w:r w:rsidRPr="007B37CF">
        <w:t>(A)</w:t>
      </w:r>
      <w:r w:rsidRPr="007B37CF">
        <w:tab/>
        <w:t xml:space="preserve">Policy statement.  The university encourages the affiliation of </w:t>
      </w:r>
      <w:r w:rsidRPr="00092FCA">
        <w:t>non-university individuals</w:t>
      </w:r>
      <w:r w:rsidRPr="007B37CF">
        <w:t xml:space="preserve"> engaged in appropriate scholarly activity.  Such appointments are either externally funded or non-remunerative.</w:t>
      </w:r>
    </w:p>
    <w:p w14:paraId="6043E8AB" w14:textId="1CBD5C4C" w:rsidR="00A0048A" w:rsidRDefault="00A0048A" w:rsidP="009546DB">
      <w:pPr>
        <w:spacing w:before="240" w:after="240" w:line="276" w:lineRule="auto"/>
        <w:ind w:left="720" w:hanging="720"/>
      </w:pPr>
      <w:r w:rsidRPr="007B37CF">
        <w:t>(B)</w:t>
      </w:r>
      <w:r w:rsidRPr="007B37CF">
        <w:tab/>
        <w:t xml:space="preserve">Definition.  “Affiliated scholars” are individuals with a record of ongoing scholarship or research who are </w:t>
      </w:r>
      <w:r>
        <w:t>independent scholars, visitors,  adjunct faculty</w:t>
      </w:r>
      <w:r w:rsidR="00447FEB">
        <w:t xml:space="preserve"> or retired full-time faculty members</w:t>
      </w:r>
      <w:r w:rsidRPr="007B37CF">
        <w:t>.  Affiliated scholars are expected to hold the appropriate terminal degree and to be engaged in ongoing scholarly activity</w:t>
      </w:r>
      <w:r w:rsidR="00447FEB">
        <w:t xml:space="preserve"> or outreach efforts of the university that support the university’s mission</w:t>
      </w:r>
      <w:r w:rsidRPr="007B37CF">
        <w:t xml:space="preserve">. </w:t>
      </w:r>
    </w:p>
    <w:p w14:paraId="6043E8AD" w14:textId="6AD4BFB3" w:rsidR="00A0048A" w:rsidRPr="007B37CF" w:rsidRDefault="00A0048A" w:rsidP="009546DB">
      <w:pPr>
        <w:spacing w:before="240" w:after="240" w:line="276" w:lineRule="auto"/>
        <w:ind w:left="720" w:hanging="720"/>
      </w:pPr>
      <w:r w:rsidRPr="007B37CF" w:rsidDel="00D15919">
        <w:t xml:space="preserve"> </w:t>
      </w:r>
      <w:r w:rsidRPr="007B37CF">
        <w:t>(C)</w:t>
      </w:r>
      <w:r w:rsidRPr="007B37CF">
        <w:tab/>
        <w:t>Parameters.</w:t>
      </w:r>
    </w:p>
    <w:p w14:paraId="6043E8AF" w14:textId="0DF87988" w:rsidR="00A0048A" w:rsidRPr="007B37CF" w:rsidRDefault="00A0048A" w:rsidP="00DD2205">
      <w:pPr>
        <w:spacing w:before="240" w:after="240" w:line="276" w:lineRule="auto"/>
        <w:ind w:left="1440" w:hanging="720"/>
      </w:pPr>
      <w:r w:rsidRPr="007B37CF">
        <w:t>(1)</w:t>
      </w:r>
      <w:r w:rsidRPr="007B37CF">
        <w:tab/>
      </w:r>
      <w:r w:rsidRPr="00092FCA">
        <w:t xml:space="preserve">An affiliated </w:t>
      </w:r>
      <w:r w:rsidR="00447FEB">
        <w:t>scholar’s</w:t>
      </w:r>
      <w:r w:rsidRPr="00092FCA">
        <w:t xml:space="preserve"> appointment is temporary and does not carry university duties.</w:t>
      </w:r>
    </w:p>
    <w:p w14:paraId="6043E8B1" w14:textId="173556A8" w:rsidR="00A0048A" w:rsidRPr="007B37CF" w:rsidRDefault="00A0048A" w:rsidP="00DD2205">
      <w:pPr>
        <w:spacing w:before="240" w:after="240" w:line="276" w:lineRule="auto"/>
        <w:ind w:left="1440" w:hanging="720"/>
      </w:pPr>
      <w:r w:rsidRPr="007B37CF">
        <w:t>(2)</w:t>
      </w:r>
      <w:r w:rsidRPr="007B37CF">
        <w:tab/>
      </w:r>
      <w:r w:rsidR="00447FEB">
        <w:t>An a</w:t>
      </w:r>
      <w:r w:rsidRPr="007B37CF">
        <w:t xml:space="preserve">ffiliated scholar </w:t>
      </w:r>
      <w:r w:rsidR="00447FEB">
        <w:t xml:space="preserve">may </w:t>
      </w:r>
      <w:r w:rsidRPr="007B37CF">
        <w:t xml:space="preserve">have access to university facilities and services, </w:t>
      </w:r>
      <w:r w:rsidR="00447FEB">
        <w:t xml:space="preserve">including </w:t>
      </w:r>
      <w:r w:rsidR="00E97AB5">
        <w:t>university</w:t>
      </w:r>
      <w:r w:rsidR="00447FEB">
        <w:t xml:space="preserve"> email, </w:t>
      </w:r>
      <w:r w:rsidRPr="007B37CF">
        <w:t xml:space="preserve">as defined by the appropriate </w:t>
      </w:r>
      <w:r>
        <w:t xml:space="preserve">department chair and </w:t>
      </w:r>
      <w:r w:rsidRPr="007B37CF">
        <w:t>dean</w:t>
      </w:r>
      <w:r w:rsidR="00447FEB">
        <w:t xml:space="preserve"> who will act as their sponsor</w:t>
      </w:r>
      <w:r w:rsidRPr="007B37CF">
        <w:t xml:space="preserve">. </w:t>
      </w:r>
    </w:p>
    <w:p w14:paraId="6043E8B3" w14:textId="6A01788C" w:rsidR="00A0048A" w:rsidRDefault="00A0048A" w:rsidP="00DD2205">
      <w:pPr>
        <w:spacing w:before="240" w:after="240" w:line="276" w:lineRule="auto"/>
        <w:ind w:left="1440" w:hanging="720"/>
      </w:pPr>
      <w:r>
        <w:t xml:space="preserve">(3)       </w:t>
      </w:r>
      <w:r w:rsidRPr="007B37CF">
        <w:t xml:space="preserve">Usual and customary charges for the use of university facilities and services are the responsibility of the affiliated scholar. </w:t>
      </w:r>
    </w:p>
    <w:p w14:paraId="6043E8B5" w14:textId="51CA5359" w:rsidR="00A0048A" w:rsidRPr="007B37CF" w:rsidRDefault="00A0048A" w:rsidP="00DD2205">
      <w:pPr>
        <w:spacing w:before="240" w:after="240" w:line="276" w:lineRule="auto"/>
        <w:ind w:left="1440" w:hanging="720"/>
      </w:pPr>
      <w:r>
        <w:t xml:space="preserve">(4)       </w:t>
      </w:r>
      <w:r w:rsidRPr="007B37CF">
        <w:t xml:space="preserve">Affiliated scholars will credit  </w:t>
      </w:r>
      <w:r w:rsidR="008D7061">
        <w:t xml:space="preserve">the </w:t>
      </w:r>
      <w:r w:rsidRPr="007B37CF">
        <w:t xml:space="preserve">university in publications stemming from scholarly activity conducted while affiliated with the university.  Copies of publications will be provided to the </w:t>
      </w:r>
      <w:r>
        <w:t>director of research services.</w:t>
      </w:r>
    </w:p>
    <w:p w14:paraId="6043E8B7" w14:textId="68792FFA" w:rsidR="00A0048A" w:rsidRPr="007B37CF" w:rsidRDefault="00A0048A" w:rsidP="00DD2205">
      <w:pPr>
        <w:spacing w:before="240" w:after="240" w:line="276" w:lineRule="auto"/>
        <w:ind w:left="1440" w:hanging="720"/>
      </w:pPr>
      <w:r w:rsidRPr="007B37CF">
        <w:lastRenderedPageBreak/>
        <w:t>(5)</w:t>
      </w:r>
      <w:r w:rsidRPr="007B37CF">
        <w:tab/>
      </w:r>
      <w:r>
        <w:t xml:space="preserve">Affiliated scholars may serve as principal investigator, responsible for preparing applications for externally funded grants, sponsored agreements and contracts, </w:t>
      </w:r>
      <w:r w:rsidRPr="00092FCA">
        <w:t>when such approval is included in the letter of appointment.</w:t>
      </w:r>
      <w:r>
        <w:t xml:space="preserve">  The </w:t>
      </w:r>
      <w:r w:rsidRPr="007B37CF">
        <w:t xml:space="preserve">affiliated scholars will follow university procedures and assign to </w:t>
      </w:r>
      <w:r w:rsidR="008D7061">
        <w:t xml:space="preserve">the </w:t>
      </w:r>
      <w:r w:rsidRPr="007B37CF">
        <w:t xml:space="preserve">university indirect cost reimbursement awarded by the </w:t>
      </w:r>
      <w:r>
        <w:t>sponsor or sponsoring agency.</w:t>
      </w:r>
      <w:r w:rsidRPr="007B37CF">
        <w:t xml:space="preserve"> </w:t>
      </w:r>
    </w:p>
    <w:p w14:paraId="1D893D76" w14:textId="078C9058" w:rsidR="00D75C82" w:rsidRDefault="00A0048A" w:rsidP="00DD2205">
      <w:pPr>
        <w:spacing w:before="240" w:after="240" w:line="276" w:lineRule="auto"/>
        <w:ind w:left="1440" w:hanging="720"/>
      </w:pPr>
      <w:r w:rsidRPr="007B37CF">
        <w:t>(6)</w:t>
      </w:r>
      <w:r w:rsidRPr="007B37CF">
        <w:tab/>
        <w:t xml:space="preserve">The university administers any grant monies awarded to the affiliated scholar whose grant application names  </w:t>
      </w:r>
      <w:r w:rsidR="008D7061">
        <w:t xml:space="preserve">the </w:t>
      </w:r>
      <w:r w:rsidRPr="007B37CF">
        <w:t xml:space="preserve">university as the institutional affiliation. </w:t>
      </w:r>
    </w:p>
    <w:p w14:paraId="6043E8B9" w14:textId="77B3FA48" w:rsidR="00A0048A" w:rsidRDefault="00D75C82" w:rsidP="00DD2205">
      <w:pPr>
        <w:spacing w:before="240" w:after="240" w:line="276" w:lineRule="auto"/>
        <w:ind w:left="1440" w:hanging="720"/>
      </w:pPr>
      <w:r>
        <w:t>(7)</w:t>
      </w:r>
      <w:r>
        <w:tab/>
        <w:t xml:space="preserve">The eligibility for email retention for retired faculty members acting as affiliated scholars will be reevaluated on a regular basis by their sponsor.  If they continue to meet the necessary engagement criteria, their email account will be renewed.  Failure to review will result in </w:t>
      </w:r>
      <w:r w:rsidR="005B4111">
        <w:t>email access being disabled immediately</w:t>
      </w:r>
    </w:p>
    <w:p w14:paraId="6043E8BB" w14:textId="1A044885" w:rsidR="00A0048A" w:rsidRPr="00DD2205" w:rsidRDefault="00A0048A" w:rsidP="00DD2205">
      <w:pPr>
        <w:spacing w:before="240" w:after="240" w:line="276" w:lineRule="auto"/>
      </w:pPr>
      <w:r>
        <w:t>(D)</w:t>
      </w:r>
      <w:r>
        <w:tab/>
        <w:t>Procedures.</w:t>
      </w:r>
    </w:p>
    <w:p w14:paraId="6043E8BD" w14:textId="528C499C" w:rsidR="00A0048A" w:rsidRPr="00A0048A" w:rsidRDefault="00A0048A" w:rsidP="00DD2205">
      <w:pPr>
        <w:spacing w:before="240" w:after="240" w:line="276" w:lineRule="auto"/>
        <w:ind w:left="1440" w:hanging="720"/>
        <w:rPr>
          <w:rFonts w:eastAsia="Calibri"/>
          <w:szCs w:val="22"/>
        </w:rPr>
      </w:pPr>
      <w:r w:rsidRPr="00A0048A">
        <w:rPr>
          <w:rFonts w:eastAsia="Calibri"/>
          <w:szCs w:val="22"/>
        </w:rPr>
        <w:t>(1)</w:t>
      </w:r>
      <w:r w:rsidRPr="00A0048A">
        <w:rPr>
          <w:rFonts w:eastAsia="Calibri"/>
          <w:szCs w:val="22"/>
        </w:rPr>
        <w:tab/>
      </w:r>
      <w:r w:rsidRPr="00394A83">
        <w:rPr>
          <w:color w:val="202124"/>
          <w:spacing w:val="3"/>
          <w:shd w:val="clear" w:color="auto" w:fill="FFFFFF"/>
        </w:rPr>
        <w:t>An affiliated scholar request and/or endorsement letter from a faculty member, who takes responsibility for the affiliated scholar, shall be submitted to the department chair.</w:t>
      </w:r>
    </w:p>
    <w:p w14:paraId="6043E8BF" w14:textId="46CEDF7A" w:rsidR="00A0048A" w:rsidRPr="00A0048A" w:rsidRDefault="00A0048A" w:rsidP="00DD2205">
      <w:pPr>
        <w:spacing w:before="240" w:after="240" w:line="276" w:lineRule="auto"/>
        <w:ind w:left="1440" w:hanging="720"/>
        <w:rPr>
          <w:rFonts w:eastAsia="Calibri"/>
          <w:szCs w:val="22"/>
        </w:rPr>
      </w:pPr>
      <w:r w:rsidRPr="00A0048A">
        <w:rPr>
          <w:rFonts w:eastAsia="Calibri"/>
          <w:szCs w:val="22"/>
        </w:rPr>
        <w:t>(2)</w:t>
      </w:r>
      <w:r w:rsidRPr="00A0048A">
        <w:rPr>
          <w:rFonts w:eastAsia="Calibri"/>
          <w:szCs w:val="22"/>
        </w:rPr>
        <w:tab/>
        <w:t xml:space="preserve"> </w:t>
      </w:r>
      <w:r>
        <w:t>The department chair, in cooperation with the dean of the college and the director of research services are responsible for the review and the nomination of the affiliated scholar to the provost and vice president of academic affairs.</w:t>
      </w:r>
    </w:p>
    <w:p w14:paraId="6043E8C1" w14:textId="62B06214" w:rsidR="00A0048A" w:rsidRPr="00DD2205" w:rsidRDefault="00A0048A" w:rsidP="00DD2205">
      <w:pPr>
        <w:spacing w:before="240" w:after="240" w:line="276" w:lineRule="auto"/>
        <w:ind w:left="1440" w:hanging="720"/>
        <w:rPr>
          <w:rFonts w:eastAsia="Calibri"/>
          <w:szCs w:val="22"/>
        </w:rPr>
      </w:pPr>
      <w:r w:rsidRPr="00A0048A">
        <w:rPr>
          <w:rFonts w:eastAsia="Calibri"/>
          <w:szCs w:val="22"/>
        </w:rPr>
        <w:t>(3)</w:t>
      </w:r>
      <w:r w:rsidRPr="00A0048A">
        <w:rPr>
          <w:rFonts w:eastAsia="Calibri"/>
          <w:szCs w:val="22"/>
        </w:rPr>
        <w:tab/>
      </w:r>
      <w:r w:rsidRPr="007B37CF">
        <w:t>Offers of appointment as affiliated scholars are th</w:t>
      </w:r>
      <w:r>
        <w:t xml:space="preserve">e responsibility of the provost and </w:t>
      </w:r>
      <w:r w:rsidRPr="007B37CF">
        <w:t>vice president for academic affairs.</w:t>
      </w:r>
    </w:p>
    <w:p w14:paraId="6043E8C2" w14:textId="77777777" w:rsidR="00996CF1" w:rsidRPr="007B37CF" w:rsidRDefault="00996CF1" w:rsidP="009546DB">
      <w:pPr>
        <w:pStyle w:val="BodyTextIndent"/>
        <w:spacing w:before="240" w:after="240" w:line="276" w:lineRule="auto"/>
      </w:pPr>
    </w:p>
    <w:sectPr w:rsidR="00996CF1" w:rsidRPr="007B37CF" w:rsidSect="00614388">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3E8C5" w14:textId="77777777" w:rsidR="004F60FD" w:rsidRDefault="00CB4C12">
      <w:r>
        <w:separator/>
      </w:r>
    </w:p>
  </w:endnote>
  <w:endnote w:type="continuationSeparator" w:id="0">
    <w:p w14:paraId="6043E8C6" w14:textId="77777777" w:rsidR="004F60FD" w:rsidRDefault="00CB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3E8C3" w14:textId="77777777" w:rsidR="004F60FD" w:rsidRDefault="00CB4C12">
      <w:r>
        <w:separator/>
      </w:r>
    </w:p>
  </w:footnote>
  <w:footnote w:type="continuationSeparator" w:id="0">
    <w:p w14:paraId="6043E8C4" w14:textId="77777777" w:rsidR="004F60FD" w:rsidRDefault="00CB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E8C7" w14:textId="2C3E4DCF" w:rsidR="00465009" w:rsidRPr="00614388" w:rsidRDefault="00537B82" w:rsidP="00614388">
    <w:pPr>
      <w:pStyle w:val="Header"/>
      <w:tabs>
        <w:tab w:val="clear" w:pos="4680"/>
        <w:tab w:val="center" w:pos="7920"/>
      </w:tabs>
    </w:pPr>
    <w:r>
      <w:t>3356</w:t>
    </w:r>
    <w:r w:rsidR="00465009">
      <w:t>-</w:t>
    </w:r>
    <w:r>
      <w:t>1</w:t>
    </w:r>
    <w:r w:rsidR="00F1702C">
      <w:t>0</w:t>
    </w:r>
    <w:r>
      <w:t>-0</w:t>
    </w:r>
    <w:r w:rsidR="00F1702C">
      <w:t>3</w:t>
    </w:r>
    <w:r>
      <w:ta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E4FC7"/>
    <w:multiLevelType w:val="hybridMultilevel"/>
    <w:tmpl w:val="B218ED8E"/>
    <w:lvl w:ilvl="0" w:tplc="761C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072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82"/>
    <w:rsid w:val="00016591"/>
    <w:rsid w:val="00042FC5"/>
    <w:rsid w:val="0014264C"/>
    <w:rsid w:val="00146E40"/>
    <w:rsid w:val="00447FEB"/>
    <w:rsid w:val="00465009"/>
    <w:rsid w:val="004F60FD"/>
    <w:rsid w:val="00537B82"/>
    <w:rsid w:val="005655D6"/>
    <w:rsid w:val="005B4111"/>
    <w:rsid w:val="007B37CF"/>
    <w:rsid w:val="008D7061"/>
    <w:rsid w:val="0093623A"/>
    <w:rsid w:val="009546DB"/>
    <w:rsid w:val="00996CF1"/>
    <w:rsid w:val="00A0048A"/>
    <w:rsid w:val="00AA788D"/>
    <w:rsid w:val="00AC0272"/>
    <w:rsid w:val="00C33AFB"/>
    <w:rsid w:val="00CB4C12"/>
    <w:rsid w:val="00D15993"/>
    <w:rsid w:val="00D75C82"/>
    <w:rsid w:val="00DC4136"/>
    <w:rsid w:val="00DD2205"/>
    <w:rsid w:val="00E97AB5"/>
    <w:rsid w:val="00F1702C"/>
    <w:rsid w:val="00F4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E89D"/>
  <w15:docId w15:val="{5415E664-6ED5-4DD2-AD04-E35F5A6B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8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537B82"/>
    <w:pPr>
      <w:ind w:left="720" w:hanging="720"/>
    </w:pPr>
  </w:style>
  <w:style w:type="character" w:customStyle="1" w:styleId="BodyTextIndentChar">
    <w:name w:val="Body Text Indent Char"/>
    <w:basedOn w:val="DefaultParagraphFont"/>
    <w:link w:val="BodyTextIndent"/>
    <w:semiHidden/>
    <w:rsid w:val="00537B82"/>
    <w:rPr>
      <w:rFonts w:ascii="Times New Roman" w:eastAsia="Times New Roman" w:hAnsi="Times New Roman" w:cs="Times New Roman"/>
      <w:szCs w:val="24"/>
    </w:rPr>
  </w:style>
  <w:style w:type="paragraph" w:styleId="Header">
    <w:name w:val="header"/>
    <w:basedOn w:val="Normal"/>
    <w:link w:val="HeaderChar"/>
    <w:uiPriority w:val="99"/>
    <w:unhideWhenUsed/>
    <w:rsid w:val="00537B82"/>
    <w:pPr>
      <w:tabs>
        <w:tab w:val="center" w:pos="4680"/>
        <w:tab w:val="right" w:pos="9360"/>
      </w:tabs>
    </w:pPr>
  </w:style>
  <w:style w:type="character" w:customStyle="1" w:styleId="HeaderChar">
    <w:name w:val="Header Char"/>
    <w:basedOn w:val="DefaultParagraphFont"/>
    <w:link w:val="Header"/>
    <w:uiPriority w:val="99"/>
    <w:rsid w:val="00537B82"/>
    <w:rPr>
      <w:rFonts w:ascii="Times New Roman" w:eastAsia="Times New Roman" w:hAnsi="Times New Roman" w:cs="Times New Roman"/>
      <w:szCs w:val="24"/>
    </w:rPr>
  </w:style>
  <w:style w:type="paragraph" w:styleId="Footer">
    <w:name w:val="footer"/>
    <w:basedOn w:val="Normal"/>
    <w:link w:val="FooterChar"/>
    <w:uiPriority w:val="99"/>
    <w:unhideWhenUsed/>
    <w:rsid w:val="00F1702C"/>
    <w:pPr>
      <w:tabs>
        <w:tab w:val="center" w:pos="4680"/>
        <w:tab w:val="right" w:pos="9360"/>
      </w:tabs>
    </w:pPr>
  </w:style>
  <w:style w:type="character" w:customStyle="1" w:styleId="FooterChar">
    <w:name w:val="Footer Char"/>
    <w:basedOn w:val="DefaultParagraphFont"/>
    <w:link w:val="Footer"/>
    <w:uiPriority w:val="99"/>
    <w:rsid w:val="00F1702C"/>
    <w:rPr>
      <w:rFonts w:ascii="Times New Roman" w:eastAsia="Times New Roman" w:hAnsi="Times New Roman" w:cs="Times New Roman"/>
      <w:szCs w:val="24"/>
    </w:rPr>
  </w:style>
  <w:style w:type="paragraph" w:styleId="ListParagraph">
    <w:name w:val="List Paragraph"/>
    <w:basedOn w:val="Normal"/>
    <w:uiPriority w:val="34"/>
    <w:qFormat/>
    <w:rsid w:val="00A0048A"/>
    <w:pPr>
      <w:ind w:left="720"/>
      <w:contextualSpacing/>
    </w:pPr>
  </w:style>
  <w:style w:type="paragraph" w:styleId="Revision">
    <w:name w:val="Revision"/>
    <w:hidden/>
    <w:uiPriority w:val="99"/>
    <w:semiHidden/>
    <w:rsid w:val="00447FEB"/>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8EEDD-725E-4FD5-B7E2-7052FCDED8AB}">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 ds:uri="c6375182-8faf-406a-bc62-bc3c74cd8834"/>
    <ds:schemaRef ds:uri="http://purl.org/dc/dcmitype/"/>
  </ds:schemaRefs>
</ds:datastoreItem>
</file>

<file path=customXml/itemProps2.xml><?xml version="1.0" encoding="utf-8"?>
<ds:datastoreItem xmlns:ds="http://schemas.openxmlformats.org/officeDocument/2006/customXml" ds:itemID="{42A10387-0DC2-4449-AA09-058B79941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C0623-DD1B-4BF4-AC74-5C0A9C5FD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6</cp:revision>
  <dcterms:created xsi:type="dcterms:W3CDTF">2025-05-29T13:05:00Z</dcterms:created>
  <dcterms:modified xsi:type="dcterms:W3CDTF">2025-06-30T14:38:00Z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