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42BA546F" w:rsidR="00EC71A6" w:rsidRDefault="00775B59" w:rsidP="00EC71A6">
      <w:pPr>
        <w:pStyle w:val="Heading1"/>
        <w:spacing w:before="0" w:after="0"/>
        <w:jc w:val="center"/>
      </w:pPr>
      <w:r>
        <w:t>Knox Technical Center</w:t>
      </w:r>
      <w:r w:rsidR="00EC71A6">
        <w:t xml:space="preserve">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62B3ABBC" w:rsidR="003C17C3" w:rsidRDefault="0078184E" w:rsidP="00CA004C">
      <w:pPr>
        <w:pStyle w:val="Heading1"/>
        <w:spacing w:before="0" w:after="0"/>
        <w:jc w:val="center"/>
      </w:pPr>
      <w:r>
        <w:t>LPN to RN Transition</w:t>
      </w:r>
      <w:r w:rsidR="003C17C3" w:rsidRPr="007F4F11">
        <w:t xml:space="preserve"> in </w:t>
      </w:r>
      <w:r w:rsidR="002F266E">
        <w:t>NURSING to RN to BSN</w:t>
      </w:r>
      <w:r w:rsidR="003C17C3" w:rsidRPr="007F4F11">
        <w:t xml:space="preserve"> </w:t>
      </w:r>
    </w:p>
    <w:p w14:paraId="635C5CC0" w14:textId="00180807" w:rsidR="002F266E" w:rsidRPr="002F266E" w:rsidRDefault="002F266E" w:rsidP="002F266E">
      <w:pPr>
        <w:rPr>
          <w:sz w:val="20"/>
          <w:szCs w:val="20"/>
        </w:rPr>
      </w:pPr>
      <w:r>
        <w:rPr>
          <w:sz w:val="20"/>
          <w:szCs w:val="20"/>
        </w:rPr>
        <w:t>The transfer pathway is designed for students who already hold an LPN License.</w:t>
      </w:r>
    </w:p>
    <w:p w14:paraId="39EEBD4E" w14:textId="3408EC2D" w:rsidR="003C17C3" w:rsidRPr="00046D45" w:rsidRDefault="00C60F40" w:rsidP="00AC4A2B">
      <w:pPr>
        <w:pStyle w:val="Heading2"/>
      </w:pPr>
      <w:r w:rsidRPr="00046D45">
        <w:t xml:space="preserve">Suggested Transfer Pathway at </w:t>
      </w:r>
      <w:r w:rsidR="00775B59">
        <w:t>Knox Technical Center</w:t>
      </w:r>
      <w:r w:rsidRPr="00046D45">
        <w:t xml:space="preserve"> (2+2)</w:t>
      </w:r>
    </w:p>
    <w:p w14:paraId="5BE2A706" w14:textId="163A13B4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  <w:r w:rsidR="00775B59">
        <w:rPr>
          <w:sz w:val="22"/>
          <w:szCs w:val="22"/>
        </w:rPr>
        <w:t xml:space="preserve"> (437 CLOCK HOURS)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6B54DBFA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 100</w:t>
            </w:r>
          </w:p>
        </w:tc>
        <w:tc>
          <w:tcPr>
            <w:tcW w:w="1525" w:type="dxa"/>
            <w:vAlign w:val="center"/>
          </w:tcPr>
          <w:p w14:paraId="1DC9EDB7" w14:textId="4728AADC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0AE538E7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205</w:t>
            </w:r>
          </w:p>
        </w:tc>
        <w:tc>
          <w:tcPr>
            <w:tcW w:w="1525" w:type="dxa"/>
            <w:vAlign w:val="center"/>
          </w:tcPr>
          <w:p w14:paraId="250946C0" w14:textId="10C8E332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122F4C50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210</w:t>
            </w:r>
          </w:p>
        </w:tc>
        <w:tc>
          <w:tcPr>
            <w:tcW w:w="1525" w:type="dxa"/>
            <w:vAlign w:val="center"/>
          </w:tcPr>
          <w:p w14:paraId="73D2E0F3" w14:textId="03D417AC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3013D93F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215</w:t>
            </w:r>
          </w:p>
        </w:tc>
        <w:tc>
          <w:tcPr>
            <w:tcW w:w="1525" w:type="dxa"/>
            <w:vAlign w:val="center"/>
          </w:tcPr>
          <w:p w14:paraId="6F8FE44C" w14:textId="0B563ECB" w:rsidR="00C03CDC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5D3361" w14:paraId="7C79893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D600CC4" w14:textId="4CEC54EA" w:rsidR="005D336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220</w:t>
            </w:r>
          </w:p>
        </w:tc>
        <w:tc>
          <w:tcPr>
            <w:tcW w:w="1525" w:type="dxa"/>
            <w:vAlign w:val="center"/>
          </w:tcPr>
          <w:p w14:paraId="18D69E09" w14:textId="7F3CD5D9" w:rsidR="005D336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</w:tr>
      <w:tr w:rsidR="00775B59" w14:paraId="23E33240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13D5A81" w14:textId="4DE1422A" w:rsidR="00775B59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230</w:t>
            </w:r>
          </w:p>
        </w:tc>
        <w:tc>
          <w:tcPr>
            <w:tcW w:w="1525" w:type="dxa"/>
            <w:vAlign w:val="center"/>
          </w:tcPr>
          <w:p w14:paraId="29C5CA00" w14:textId="784268F6" w:rsidR="00775B59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1FF5C88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  <w:r w:rsidR="00775B59">
        <w:rPr>
          <w:color w:val="000000" w:themeColor="text1"/>
          <w:sz w:val="22"/>
          <w:szCs w:val="22"/>
        </w:rPr>
        <w:t xml:space="preserve"> (463 CLOCK HOURS)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52237735" w:rsidR="00421DA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225</w:t>
            </w:r>
          </w:p>
        </w:tc>
        <w:tc>
          <w:tcPr>
            <w:tcW w:w="1525" w:type="dxa"/>
            <w:vAlign w:val="center"/>
          </w:tcPr>
          <w:p w14:paraId="3D9EDB41" w14:textId="0A4B31E0" w:rsidR="00421DA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108.5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0394864B" w:rsidR="00421DA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240</w:t>
            </w:r>
          </w:p>
        </w:tc>
        <w:tc>
          <w:tcPr>
            <w:tcW w:w="1525" w:type="dxa"/>
            <w:vAlign w:val="center"/>
          </w:tcPr>
          <w:p w14:paraId="24ED9E75" w14:textId="00301181" w:rsidR="00421DA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044ADAF4" w:rsidR="00421DA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290</w:t>
            </w:r>
          </w:p>
        </w:tc>
        <w:tc>
          <w:tcPr>
            <w:tcW w:w="1525" w:type="dxa"/>
            <w:vAlign w:val="center"/>
          </w:tcPr>
          <w:p w14:paraId="57931B66" w14:textId="30D9AE8A" w:rsidR="00421DA1" w:rsidRDefault="00775B5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221.5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29E4AF06" w14:textId="77777777" w:rsidR="00775B59" w:rsidRDefault="00775B59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775B59">
        <w:rPr>
          <w:b/>
          <w:bCs/>
          <w:sz w:val="22"/>
          <w:szCs w:val="22"/>
        </w:rPr>
        <w:t xml:space="preserve">900 Total Clock Hours to Graduate with the LPN to RN Transition Program from KNOX TECHNICAL CENTER </w:t>
      </w:r>
    </w:p>
    <w:p w14:paraId="3A13E705" w14:textId="6A967A74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0453A587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See a </w:t>
      </w:r>
      <w:r w:rsidR="00775B59">
        <w:rPr>
          <w:b/>
          <w:bCs/>
          <w:sz w:val="22"/>
          <w:szCs w:val="22"/>
        </w:rPr>
        <w:t xml:space="preserve">Knox Technical Center </w:t>
      </w:r>
      <w:r w:rsidRPr="000E66F8">
        <w:rPr>
          <w:b/>
          <w:bCs/>
          <w:sz w:val="22"/>
          <w:szCs w:val="22"/>
        </w:rPr>
        <w:t>Counselor for details</w:t>
      </w:r>
    </w:p>
    <w:p w14:paraId="6565EA13" w14:textId="77777777" w:rsidR="00821640" w:rsidRDefault="00821640" w:rsidP="00821640">
      <w:pPr>
        <w:pStyle w:val="Heading2"/>
      </w:pPr>
      <w:r w:rsidRPr="00EE139E">
        <w:lastRenderedPageBreak/>
        <w:t>Suggested Degree Plan at YSU</w:t>
      </w:r>
    </w:p>
    <w:p w14:paraId="0C91A4B6" w14:textId="6F157B9B" w:rsidR="00821640" w:rsidRPr="002C208E" w:rsidRDefault="00A04019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77CE2DA2" w:rsidR="00821640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1551 WRITING 2</w:t>
            </w:r>
          </w:p>
        </w:tc>
        <w:tc>
          <w:tcPr>
            <w:tcW w:w="1525" w:type="dxa"/>
            <w:vAlign w:val="center"/>
          </w:tcPr>
          <w:p w14:paraId="6B02CBBA" w14:textId="3A4C8C44" w:rsidR="0082164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627B7B3E" w:rsidR="00821640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3725 NURSING INFORMATICS</w:t>
            </w:r>
          </w:p>
        </w:tc>
        <w:tc>
          <w:tcPr>
            <w:tcW w:w="1525" w:type="dxa"/>
            <w:vAlign w:val="center"/>
          </w:tcPr>
          <w:p w14:paraId="182712A0" w14:textId="3633DD2E" w:rsidR="00821640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75B59" w14:paraId="4EB6DA1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F054585" w14:textId="5C2DFA03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3758 LIFESPAN DEVELOPMENT</w:t>
            </w:r>
          </w:p>
        </w:tc>
        <w:tc>
          <w:tcPr>
            <w:tcW w:w="1525" w:type="dxa"/>
            <w:vAlign w:val="center"/>
          </w:tcPr>
          <w:p w14:paraId="6848DF99" w14:textId="6ADD2E23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75B59" w14:paraId="16214A70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6350A16" w14:textId="44F89344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3720 PROFESSIONAL NURSING</w:t>
            </w:r>
          </w:p>
        </w:tc>
        <w:tc>
          <w:tcPr>
            <w:tcW w:w="1525" w:type="dxa"/>
            <w:vAlign w:val="center"/>
          </w:tcPr>
          <w:p w14:paraId="7BD0D8FD" w14:textId="0F365F56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0D748CD4" w:rsidR="00CD54BB" w:rsidRPr="002C208E" w:rsidRDefault="001623F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6ABE243E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COMMUNICATION FOUNDATIONS</w:t>
            </w:r>
          </w:p>
        </w:tc>
        <w:tc>
          <w:tcPr>
            <w:tcW w:w="1525" w:type="dxa"/>
            <w:vAlign w:val="center"/>
          </w:tcPr>
          <w:p w14:paraId="264F8CC2" w14:textId="4C0EB18C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61914861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</w:t>
            </w:r>
            <w:r w:rsidR="00775B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0 </w:t>
            </w:r>
            <w:r w:rsidR="00775B59">
              <w:rPr>
                <w:sz w:val="20"/>
                <w:szCs w:val="20"/>
              </w:rPr>
              <w:t xml:space="preserve">CULTURE IN </w:t>
            </w:r>
            <w:r>
              <w:rPr>
                <w:sz w:val="20"/>
                <w:szCs w:val="20"/>
              </w:rPr>
              <w:t>NURSING</w:t>
            </w:r>
          </w:p>
        </w:tc>
        <w:tc>
          <w:tcPr>
            <w:tcW w:w="1525" w:type="dxa"/>
            <w:vAlign w:val="center"/>
          </w:tcPr>
          <w:p w14:paraId="18CA37A3" w14:textId="4A7EFEC7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75B59" w14:paraId="2786A2B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FFD3C7C" w14:textId="32491848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 2601 OR 2625 INTRODUCTORY STATS or STATISTICAL LITERACY AND CRITICAL REASONING</w:t>
            </w:r>
          </w:p>
        </w:tc>
        <w:tc>
          <w:tcPr>
            <w:tcW w:w="1525" w:type="dxa"/>
            <w:vAlign w:val="center"/>
          </w:tcPr>
          <w:p w14:paraId="41063E08" w14:textId="4427761A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OR 4</w:t>
            </w:r>
          </w:p>
        </w:tc>
      </w:tr>
      <w:tr w:rsidR="00775B59" w14:paraId="74AB38E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B079484" w14:textId="3293EDB3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3735 HEALTH PROMOTION ACROSS THE LIFESPAN</w:t>
            </w:r>
          </w:p>
        </w:tc>
        <w:tc>
          <w:tcPr>
            <w:tcW w:w="1525" w:type="dxa"/>
            <w:vAlign w:val="center"/>
          </w:tcPr>
          <w:p w14:paraId="3CD93AA2" w14:textId="7012B3A8" w:rsidR="00775B59" w:rsidRDefault="00775B5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6EEF50A7" w:rsidR="00CD54BB" w:rsidRPr="002C208E" w:rsidRDefault="001623F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75B59" w14:paraId="4848047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CE735B0" w14:textId="30AA16FA" w:rsidR="00775B59" w:rsidRDefault="00775B59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2625 PROFESSIONAL ETHICS</w:t>
            </w:r>
          </w:p>
        </w:tc>
        <w:tc>
          <w:tcPr>
            <w:tcW w:w="1525" w:type="dxa"/>
            <w:vAlign w:val="center"/>
          </w:tcPr>
          <w:p w14:paraId="3D037263" w14:textId="08405242" w:rsidR="00775B59" w:rsidRDefault="00775B59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6CDFBBCB" w:rsidR="0075426A" w:rsidRDefault="00775B59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4804 HEALTH ASSESSMENT FOR RNs</w:t>
            </w:r>
          </w:p>
        </w:tc>
        <w:tc>
          <w:tcPr>
            <w:tcW w:w="1525" w:type="dxa"/>
            <w:vAlign w:val="center"/>
          </w:tcPr>
          <w:p w14:paraId="2E8081B4" w14:textId="1F56DCB4" w:rsidR="0075426A" w:rsidRDefault="001623F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4E0B5C3C" w:rsidR="0075426A" w:rsidRDefault="00775B59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4846 COMMUNITY HEALTH NURSING FOR RNs</w:t>
            </w:r>
          </w:p>
        </w:tc>
        <w:tc>
          <w:tcPr>
            <w:tcW w:w="1525" w:type="dxa"/>
            <w:vAlign w:val="center"/>
          </w:tcPr>
          <w:p w14:paraId="343BD177" w14:textId="3EC6F0E4" w:rsidR="0075426A" w:rsidRDefault="001623F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75B59" w14:paraId="5D6525A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C27F533" w14:textId="20F0F8F0" w:rsidR="00775B59" w:rsidRDefault="00775B59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3750</w:t>
            </w:r>
            <w:r w:rsidR="00560F07">
              <w:rPr>
                <w:sz w:val="20"/>
                <w:szCs w:val="20"/>
              </w:rPr>
              <w:t xml:space="preserve"> EVIDENCE BASED PRACTICE</w:t>
            </w:r>
          </w:p>
        </w:tc>
        <w:tc>
          <w:tcPr>
            <w:tcW w:w="1525" w:type="dxa"/>
            <w:vAlign w:val="center"/>
          </w:tcPr>
          <w:p w14:paraId="43F65D46" w14:textId="738E518F" w:rsidR="00775B59" w:rsidRDefault="00775B59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54669370" w:rsidR="00F05106" w:rsidRPr="002C208E" w:rsidRDefault="001623F3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7CC624FD" w:rsidR="00F05106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ELCT CRSE NURSING ELECTIVE COURSE (ONLY TO BE TAKEN IF THE STUDENT NEEDS TO MEET 120 CREDITS TO GRADUATE)</w:t>
            </w:r>
          </w:p>
        </w:tc>
        <w:tc>
          <w:tcPr>
            <w:tcW w:w="1525" w:type="dxa"/>
            <w:vAlign w:val="center"/>
          </w:tcPr>
          <w:p w14:paraId="24698977" w14:textId="132ED587" w:rsidR="00F05106" w:rsidRDefault="00560F0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 CREDITS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2DD3907D" w:rsidR="00F05106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</w:t>
            </w:r>
            <w:r w:rsidR="00560F07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</w:t>
            </w:r>
            <w:r w:rsidR="00560F07">
              <w:rPr>
                <w:sz w:val="20"/>
                <w:szCs w:val="20"/>
              </w:rPr>
              <w:t>SENIOR CAPSTONE</w:t>
            </w:r>
          </w:p>
        </w:tc>
        <w:tc>
          <w:tcPr>
            <w:tcW w:w="1525" w:type="dxa"/>
            <w:vAlign w:val="center"/>
          </w:tcPr>
          <w:p w14:paraId="517FC27D" w14:textId="5084773A" w:rsidR="00F05106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07" w14:paraId="672FD8B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ACCBAC8" w14:textId="27179533" w:rsidR="00560F07" w:rsidRDefault="00560F07" w:rsidP="00560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4854 NURSING LEADERSHIP WITH 40 CLINICAL HOURS</w:t>
            </w:r>
          </w:p>
        </w:tc>
        <w:tc>
          <w:tcPr>
            <w:tcW w:w="1525" w:type="dxa"/>
            <w:vAlign w:val="center"/>
          </w:tcPr>
          <w:p w14:paraId="5B264B9E" w14:textId="2AB387C6" w:rsidR="00560F07" w:rsidRDefault="00560F07" w:rsidP="00560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07" w14:paraId="0F4BD5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BE424E1" w14:textId="34E7438F" w:rsidR="00560F07" w:rsidRDefault="00560F07" w:rsidP="00560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4854L NURSING LEADERSHIP LAB</w:t>
            </w:r>
          </w:p>
        </w:tc>
        <w:tc>
          <w:tcPr>
            <w:tcW w:w="1525" w:type="dxa"/>
            <w:vAlign w:val="center"/>
          </w:tcPr>
          <w:p w14:paraId="1A677DA5" w14:textId="4A81305F" w:rsidR="00560F07" w:rsidRDefault="00560F07" w:rsidP="00560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B7A2BD8" w14:textId="77777777" w:rsidR="00F05106" w:rsidRDefault="00F05106" w:rsidP="00821640">
      <w:pPr>
        <w:rPr>
          <w:sz w:val="10"/>
          <w:szCs w:val="10"/>
        </w:rPr>
      </w:pPr>
    </w:p>
    <w:p w14:paraId="50BCBA42" w14:textId="77777777" w:rsidR="00912D1E" w:rsidRDefault="00912D1E" w:rsidP="00821640">
      <w:pPr>
        <w:rPr>
          <w:sz w:val="10"/>
          <w:szCs w:val="10"/>
        </w:rPr>
      </w:pPr>
    </w:p>
    <w:p w14:paraId="51F1571D" w14:textId="77777777" w:rsidR="00912D1E" w:rsidRDefault="00912D1E" w:rsidP="00821640">
      <w:pPr>
        <w:rPr>
          <w:sz w:val="10"/>
          <w:szCs w:val="10"/>
        </w:rPr>
      </w:pPr>
    </w:p>
    <w:p w14:paraId="691ED22F" w14:textId="3A5B02E0" w:rsidR="001623F3" w:rsidRPr="002C208E" w:rsidRDefault="001623F3" w:rsidP="001623F3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Tenth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623F3" w14:paraId="758CD689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724D1C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05048F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1623F3" w14:paraId="6D8F6ECD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370F37E3" w14:textId="77777777" w:rsidR="001623F3" w:rsidRDefault="001623F3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ELCT CRSE NURSING ELECTIVE COURSE (ONLY TO BE TAKEN IF THE STUDENT NEEDS TO MEET 120 CREDITS TO GRADUATE)</w:t>
            </w:r>
          </w:p>
        </w:tc>
        <w:tc>
          <w:tcPr>
            <w:tcW w:w="1525" w:type="dxa"/>
            <w:vAlign w:val="center"/>
          </w:tcPr>
          <w:p w14:paraId="5DDFCB84" w14:textId="77777777" w:rsidR="001623F3" w:rsidRDefault="001623F3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07" w14:paraId="31AB2D5B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329AA53C" w14:textId="14BF54C4" w:rsidR="00560F07" w:rsidRDefault="00560F07" w:rsidP="00560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37XEC PLA CREDITS ISSUED FOR UNENCUMBERED NURSING LICENSE</w:t>
            </w:r>
          </w:p>
        </w:tc>
        <w:tc>
          <w:tcPr>
            <w:tcW w:w="1525" w:type="dxa"/>
            <w:vAlign w:val="center"/>
          </w:tcPr>
          <w:p w14:paraId="71C1C4E3" w14:textId="6FA5FF63" w:rsidR="00560F07" w:rsidRDefault="00560F07" w:rsidP="00560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2C5B2730" w14:textId="77777777" w:rsidR="001623F3" w:rsidRDefault="001623F3" w:rsidP="00821640">
      <w:pPr>
        <w:rPr>
          <w:sz w:val="10"/>
          <w:szCs w:val="10"/>
        </w:rPr>
      </w:pPr>
    </w:p>
    <w:p w14:paraId="5B52E83A" w14:textId="77777777" w:rsidR="001623F3" w:rsidRPr="00870B1F" w:rsidRDefault="001623F3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15E24AD3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</w:t>
      </w:r>
      <w:r w:rsidR="00D378C9">
        <w:rPr>
          <w:b/>
          <w:bCs/>
          <w:sz w:val="22"/>
          <w:szCs w:val="22"/>
        </w:rPr>
        <w:t>Nursing</w:t>
      </w:r>
      <w:r w:rsidRPr="00442705">
        <w:rPr>
          <w:b/>
          <w:bCs/>
          <w:sz w:val="22"/>
          <w:szCs w:val="22"/>
        </w:rPr>
        <w:t xml:space="preserve"> Awarded Total Hours: </w:t>
      </w:r>
      <w:r w:rsidR="00870B1F">
        <w:rPr>
          <w:b/>
          <w:bCs/>
          <w:sz w:val="22"/>
          <w:szCs w:val="22"/>
        </w:rPr>
        <w:t>12</w:t>
      </w:r>
      <w:r w:rsidR="007B239A">
        <w:rPr>
          <w:b/>
          <w:bCs/>
          <w:sz w:val="22"/>
          <w:szCs w:val="22"/>
        </w:rPr>
        <w:t>0</w:t>
      </w:r>
    </w:p>
    <w:p w14:paraId="2BC17878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F484184" w:rsidR="00442705" w:rsidRPr="00442705" w:rsidRDefault="007B239A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This transfer pathway represents one example of how to complete an </w:t>
      </w:r>
      <w:proofErr w:type="gramStart"/>
      <w:r>
        <w:rPr>
          <w:b/>
          <w:bCs/>
          <w:sz w:val="22"/>
          <w:szCs w:val="22"/>
        </w:rPr>
        <w:t>associate and bachelor</w:t>
      </w:r>
      <w:proofErr w:type="gramEnd"/>
      <w:r>
        <w:rPr>
          <w:b/>
          <w:bCs/>
          <w:sz w:val="22"/>
          <w:szCs w:val="22"/>
        </w:rPr>
        <w:t xml:space="preserve"> degree.  Students should work with a</w:t>
      </w:r>
      <w:r w:rsidR="00D378C9">
        <w:rPr>
          <w:b/>
          <w:bCs/>
          <w:sz w:val="22"/>
          <w:szCs w:val="22"/>
        </w:rPr>
        <w:t xml:space="preserve">n RN to BSN </w:t>
      </w:r>
      <w:r>
        <w:rPr>
          <w:b/>
          <w:bCs/>
          <w:sz w:val="22"/>
          <w:szCs w:val="22"/>
        </w:rPr>
        <w:t xml:space="preserve">advisor to </w:t>
      </w:r>
      <w:r w:rsidR="00D378C9">
        <w:rPr>
          <w:b/>
          <w:bCs/>
          <w:sz w:val="22"/>
          <w:szCs w:val="22"/>
        </w:rPr>
        <w:t>discuss options.</w:t>
      </w:r>
      <w:r>
        <w:rPr>
          <w:b/>
          <w:bCs/>
          <w:sz w:val="22"/>
          <w:szCs w:val="22"/>
        </w:rPr>
        <w:t xml:space="preserve"> </w:t>
      </w:r>
      <w:r w:rsidR="00D378C9">
        <w:rPr>
          <w:b/>
          <w:bCs/>
          <w:sz w:val="22"/>
          <w:szCs w:val="22"/>
        </w:rPr>
        <w:t xml:space="preserve">An RN to BSN advisor can also </w:t>
      </w:r>
      <w:r>
        <w:rPr>
          <w:b/>
          <w:bCs/>
          <w:sz w:val="22"/>
          <w:szCs w:val="22"/>
        </w:rPr>
        <w:t>assist students with developing a graduation plan for full or part-time study.</w:t>
      </w:r>
    </w:p>
    <w:p w14:paraId="1A46C293" w14:textId="03919826" w:rsidR="00D378C9" w:rsidRPr="00442705" w:rsidRDefault="00D378C9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Block credit will be awarded to students by YSU for LPN an RN licensure (10-49 credits).  In addition, if needed, YSU will award 11 ITAG credits for an unencumbered LPN license.</w:t>
      </w:r>
    </w:p>
    <w:p w14:paraId="16564032" w14:textId="77777777" w:rsidR="00D378C9" w:rsidRDefault="00D378C9" w:rsidP="00D378C9">
      <w:pPr>
        <w:tabs>
          <w:tab w:val="left" w:pos="1340"/>
        </w:tabs>
        <w:spacing w:after="0"/>
        <w:rPr>
          <w:sz w:val="22"/>
          <w:szCs w:val="22"/>
        </w:rPr>
      </w:pPr>
    </w:p>
    <w:p w14:paraId="05E98CFE" w14:textId="77777777" w:rsidR="00D378C9" w:rsidRPr="00442705" w:rsidRDefault="00D378C9" w:rsidP="00D378C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6BD2A30B" w14:textId="77777777" w:rsidR="00D378C9" w:rsidRPr="00442705" w:rsidRDefault="00D378C9" w:rsidP="00D378C9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3DD4DE30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EDEFB6D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978B2DB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785C6CB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9F122F1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3874BCC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61EF8B8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D91905F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B759255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0015D68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39C92B2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8428F89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B93D570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29FF411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B75ADC6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9BDFCAA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61FDC2C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1D8DB1E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74D9A41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65D7B57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745E4B9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0639D60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BEBE574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05561C0B" w14:textId="32A7DD8F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1792" w14:textId="77777777" w:rsidR="00830374" w:rsidRDefault="00830374" w:rsidP="001E7BD4">
      <w:pPr>
        <w:spacing w:after="0" w:line="240" w:lineRule="auto"/>
      </w:pPr>
      <w:r>
        <w:separator/>
      </w:r>
    </w:p>
  </w:endnote>
  <w:endnote w:type="continuationSeparator" w:id="0">
    <w:p w14:paraId="0735D46E" w14:textId="77777777" w:rsidR="00830374" w:rsidRDefault="00830374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CE7B" w14:textId="77777777" w:rsidR="00830374" w:rsidRDefault="00830374" w:rsidP="001E7BD4">
      <w:pPr>
        <w:spacing w:after="0" w:line="240" w:lineRule="auto"/>
      </w:pPr>
      <w:r>
        <w:separator/>
      </w:r>
    </w:p>
  </w:footnote>
  <w:footnote w:type="continuationSeparator" w:id="0">
    <w:p w14:paraId="6A3F3D3C" w14:textId="77777777" w:rsidR="00830374" w:rsidRDefault="00830374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0F17FB"/>
    <w:rsid w:val="001063EF"/>
    <w:rsid w:val="001517D4"/>
    <w:rsid w:val="001623F3"/>
    <w:rsid w:val="001772B4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A781C"/>
    <w:rsid w:val="002B2578"/>
    <w:rsid w:val="002C208E"/>
    <w:rsid w:val="002D622B"/>
    <w:rsid w:val="002F266E"/>
    <w:rsid w:val="002F536D"/>
    <w:rsid w:val="002F69A8"/>
    <w:rsid w:val="00303BF7"/>
    <w:rsid w:val="003201AF"/>
    <w:rsid w:val="0032113E"/>
    <w:rsid w:val="0033555D"/>
    <w:rsid w:val="00351D1F"/>
    <w:rsid w:val="00357C83"/>
    <w:rsid w:val="00387B6A"/>
    <w:rsid w:val="00397FF2"/>
    <w:rsid w:val="003C17C3"/>
    <w:rsid w:val="003D6BAF"/>
    <w:rsid w:val="003D7CF4"/>
    <w:rsid w:val="003E3894"/>
    <w:rsid w:val="003E5D47"/>
    <w:rsid w:val="003F33E5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6436F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60F07"/>
    <w:rsid w:val="005810C4"/>
    <w:rsid w:val="00582975"/>
    <w:rsid w:val="00591E7A"/>
    <w:rsid w:val="00592221"/>
    <w:rsid w:val="005A0C33"/>
    <w:rsid w:val="005B4330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B204D"/>
    <w:rsid w:val="006D3438"/>
    <w:rsid w:val="006D75BA"/>
    <w:rsid w:val="007044EA"/>
    <w:rsid w:val="0075426A"/>
    <w:rsid w:val="00755B4A"/>
    <w:rsid w:val="007569AA"/>
    <w:rsid w:val="00775B59"/>
    <w:rsid w:val="00777FB5"/>
    <w:rsid w:val="00780B15"/>
    <w:rsid w:val="0078184E"/>
    <w:rsid w:val="007856BB"/>
    <w:rsid w:val="007B239A"/>
    <w:rsid w:val="007B692F"/>
    <w:rsid w:val="007C17B7"/>
    <w:rsid w:val="007F4F11"/>
    <w:rsid w:val="00821640"/>
    <w:rsid w:val="00830374"/>
    <w:rsid w:val="00841811"/>
    <w:rsid w:val="008554AB"/>
    <w:rsid w:val="008668CA"/>
    <w:rsid w:val="00870B1F"/>
    <w:rsid w:val="00880B61"/>
    <w:rsid w:val="00890428"/>
    <w:rsid w:val="008B6430"/>
    <w:rsid w:val="008D4126"/>
    <w:rsid w:val="008E03FD"/>
    <w:rsid w:val="008E105C"/>
    <w:rsid w:val="008F2611"/>
    <w:rsid w:val="008F3759"/>
    <w:rsid w:val="00902663"/>
    <w:rsid w:val="00903975"/>
    <w:rsid w:val="00910E92"/>
    <w:rsid w:val="00912D1E"/>
    <w:rsid w:val="00927E1A"/>
    <w:rsid w:val="00957DB8"/>
    <w:rsid w:val="00961A3F"/>
    <w:rsid w:val="009729C5"/>
    <w:rsid w:val="00977814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04019"/>
    <w:rsid w:val="00A22343"/>
    <w:rsid w:val="00A31594"/>
    <w:rsid w:val="00A376AE"/>
    <w:rsid w:val="00A40416"/>
    <w:rsid w:val="00A5109E"/>
    <w:rsid w:val="00A51336"/>
    <w:rsid w:val="00A85C30"/>
    <w:rsid w:val="00A90FE2"/>
    <w:rsid w:val="00AB1A89"/>
    <w:rsid w:val="00AC4A2B"/>
    <w:rsid w:val="00AE0A99"/>
    <w:rsid w:val="00AE44F4"/>
    <w:rsid w:val="00B055C4"/>
    <w:rsid w:val="00B24991"/>
    <w:rsid w:val="00B46950"/>
    <w:rsid w:val="00B513E3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B589F"/>
    <w:rsid w:val="00CD54BB"/>
    <w:rsid w:val="00D07CC0"/>
    <w:rsid w:val="00D23549"/>
    <w:rsid w:val="00D24955"/>
    <w:rsid w:val="00D253A6"/>
    <w:rsid w:val="00D36E96"/>
    <w:rsid w:val="00D378C9"/>
    <w:rsid w:val="00D423EF"/>
    <w:rsid w:val="00D66E9C"/>
    <w:rsid w:val="00D85807"/>
    <w:rsid w:val="00D97AAD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A5A14"/>
    <w:rsid w:val="00EB2DD2"/>
    <w:rsid w:val="00EC71A6"/>
    <w:rsid w:val="00ED1073"/>
    <w:rsid w:val="00EE139E"/>
    <w:rsid w:val="00EE41FB"/>
    <w:rsid w:val="00EF087D"/>
    <w:rsid w:val="00EF61D8"/>
    <w:rsid w:val="00F00F0F"/>
    <w:rsid w:val="00F00F6D"/>
    <w:rsid w:val="00F05106"/>
    <w:rsid w:val="00F200FC"/>
    <w:rsid w:val="00F25B60"/>
    <w:rsid w:val="00F5052F"/>
    <w:rsid w:val="00F56219"/>
    <w:rsid w:val="00F81F1E"/>
    <w:rsid w:val="00F82D82"/>
    <w:rsid w:val="00F942AB"/>
    <w:rsid w:val="00FA179A"/>
    <w:rsid w:val="00FA1EA6"/>
    <w:rsid w:val="00FA3138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5</cp:revision>
  <dcterms:created xsi:type="dcterms:W3CDTF">2025-09-03T18:33:00Z</dcterms:created>
  <dcterms:modified xsi:type="dcterms:W3CDTF">2025-10-21T16:49:00Z</dcterms:modified>
</cp:coreProperties>
</file>