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44B76" w14:textId="0EE9C29E" w:rsidR="008B60B4" w:rsidRDefault="008B60B4" w:rsidP="0015785A">
      <w:pPr>
        <w:jc w:val="center"/>
        <w:rPr>
          <w:b/>
          <w:sz w:val="36"/>
          <w:szCs w:val="22"/>
        </w:rPr>
      </w:pPr>
      <w:r w:rsidRPr="006600FA">
        <w:rPr>
          <w:b/>
          <w:sz w:val="36"/>
          <w:szCs w:val="22"/>
        </w:rPr>
        <w:t>NAME OF COMMITTEE:</w:t>
      </w:r>
      <w:r w:rsidR="00B6695E" w:rsidRPr="006600FA">
        <w:rPr>
          <w:b/>
          <w:sz w:val="36"/>
          <w:szCs w:val="22"/>
        </w:rPr>
        <w:t xml:space="preserve"> </w:t>
      </w:r>
      <w:r w:rsidR="006600FA" w:rsidRPr="006600FA">
        <w:rPr>
          <w:b/>
          <w:sz w:val="36"/>
          <w:szCs w:val="22"/>
        </w:rPr>
        <w:t>Student Academic Grievances Committee</w:t>
      </w:r>
    </w:p>
    <w:p w14:paraId="68C33A52" w14:textId="77777777" w:rsidR="0015785A" w:rsidRPr="006600FA" w:rsidRDefault="0015785A" w:rsidP="0015785A">
      <w:pPr>
        <w:jc w:val="center"/>
        <w:rPr>
          <w:b/>
          <w:sz w:val="36"/>
          <w:szCs w:val="22"/>
        </w:rPr>
      </w:pPr>
    </w:p>
    <w:p w14:paraId="4FEBB27C" w14:textId="366AB4E8" w:rsidR="008B60B4" w:rsidRDefault="0015785A" w:rsidP="0015785A">
      <w:pPr>
        <w:rPr>
          <w:b/>
          <w:bCs/>
          <w:sz w:val="22"/>
          <w:szCs w:val="22"/>
        </w:rPr>
      </w:pPr>
      <w:r w:rsidRPr="0015785A">
        <w:rPr>
          <w:b/>
          <w:bCs/>
          <w:sz w:val="22"/>
          <w:szCs w:val="22"/>
        </w:rPr>
        <w:t>COMMITTEE INFORMATION</w:t>
      </w:r>
    </w:p>
    <w:p w14:paraId="7EB40B24" w14:textId="77777777" w:rsidR="0015785A" w:rsidRDefault="0015785A" w:rsidP="0015785A">
      <w:pPr>
        <w:rPr>
          <w:b/>
          <w:bCs/>
          <w:sz w:val="22"/>
          <w:szCs w:val="22"/>
        </w:rPr>
      </w:pPr>
    </w:p>
    <w:p w14:paraId="49C11E93" w14:textId="40B4CA6B" w:rsidR="0015785A" w:rsidRPr="0015785A" w:rsidRDefault="0015785A" w:rsidP="0015785A">
      <w:pPr>
        <w:rPr>
          <w:b/>
          <w:bCs/>
          <w:sz w:val="22"/>
          <w:szCs w:val="22"/>
        </w:rPr>
      </w:pPr>
      <w:r w:rsidRPr="0015785A">
        <w:rPr>
          <w:b/>
          <w:bCs/>
          <w:sz w:val="22"/>
          <w:szCs w:val="22"/>
        </w:rPr>
        <w:t>MEETING TIMES:</w:t>
      </w:r>
    </w:p>
    <w:p w14:paraId="202B14B1" w14:textId="70887B76" w:rsidR="008B60B4" w:rsidRDefault="008B60B4" w:rsidP="008B60B4">
      <w:pPr>
        <w:rPr>
          <w:sz w:val="22"/>
          <w:szCs w:val="22"/>
        </w:rPr>
      </w:pPr>
      <w:r w:rsidRPr="0015785A">
        <w:rPr>
          <w:b/>
          <w:bCs/>
          <w:sz w:val="22"/>
          <w:szCs w:val="22"/>
        </w:rPr>
        <w:t>CLASSIFICATION</w:t>
      </w:r>
      <w:r>
        <w:rPr>
          <w:sz w:val="22"/>
          <w:szCs w:val="22"/>
        </w:rPr>
        <w:t>:</w:t>
      </w:r>
      <w:r w:rsidR="00B6695E">
        <w:rPr>
          <w:sz w:val="22"/>
          <w:szCs w:val="22"/>
        </w:rPr>
        <w:t xml:space="preserve"> </w:t>
      </w:r>
      <w:r w:rsidR="006600FA">
        <w:rPr>
          <w:sz w:val="22"/>
          <w:szCs w:val="22"/>
        </w:rPr>
        <w:t>Senate Standing Committee</w:t>
      </w:r>
    </w:p>
    <w:p w14:paraId="4A00843A" w14:textId="77777777" w:rsidR="008B60B4" w:rsidRDefault="008B60B4" w:rsidP="008B60B4">
      <w:pPr>
        <w:rPr>
          <w:sz w:val="22"/>
          <w:szCs w:val="22"/>
        </w:rPr>
      </w:pPr>
    </w:p>
    <w:p w14:paraId="10DD84AF" w14:textId="305EA4D1" w:rsidR="008B60B4" w:rsidRDefault="008B60B4" w:rsidP="008B60B4">
      <w:pPr>
        <w:rPr>
          <w:sz w:val="22"/>
          <w:szCs w:val="22"/>
        </w:rPr>
      </w:pPr>
      <w:r w:rsidRPr="0015785A">
        <w:rPr>
          <w:b/>
          <w:bCs/>
          <w:sz w:val="22"/>
          <w:szCs w:val="22"/>
        </w:rPr>
        <w:t>REPORTS TO</w:t>
      </w:r>
      <w:r>
        <w:rPr>
          <w:sz w:val="22"/>
          <w:szCs w:val="22"/>
        </w:rPr>
        <w:t>:</w:t>
      </w:r>
      <w:r w:rsidR="00B6695E">
        <w:rPr>
          <w:sz w:val="22"/>
          <w:szCs w:val="22"/>
        </w:rPr>
        <w:t xml:space="preserve"> </w:t>
      </w:r>
      <w:r w:rsidR="006600FA">
        <w:rPr>
          <w:sz w:val="22"/>
          <w:szCs w:val="22"/>
        </w:rPr>
        <w:t>Senate Executive Committee</w:t>
      </w:r>
    </w:p>
    <w:p w14:paraId="02741066" w14:textId="77777777" w:rsidR="008B60B4" w:rsidRDefault="008B60B4" w:rsidP="008B60B4">
      <w:pPr>
        <w:rPr>
          <w:sz w:val="22"/>
          <w:szCs w:val="22"/>
        </w:rPr>
      </w:pPr>
    </w:p>
    <w:p w14:paraId="2556F097" w14:textId="77777777" w:rsidR="006600FA" w:rsidRPr="006600FA" w:rsidRDefault="008B60B4" w:rsidP="006600FA">
      <w:pPr>
        <w:rPr>
          <w:sz w:val="22"/>
          <w:szCs w:val="22"/>
        </w:rPr>
      </w:pPr>
      <w:r w:rsidRPr="0015785A">
        <w:rPr>
          <w:b/>
          <w:bCs/>
          <w:sz w:val="22"/>
          <w:szCs w:val="22"/>
        </w:rPr>
        <w:t>CHARGE</w:t>
      </w:r>
      <w:r>
        <w:rPr>
          <w:sz w:val="22"/>
          <w:szCs w:val="22"/>
        </w:rPr>
        <w:t>:</w:t>
      </w:r>
      <w:r w:rsidR="00B6695E">
        <w:rPr>
          <w:sz w:val="22"/>
          <w:szCs w:val="22"/>
        </w:rPr>
        <w:t xml:space="preserve"> </w:t>
      </w:r>
      <w:r w:rsidR="006600FA" w:rsidRPr="006600FA">
        <w:rPr>
          <w:sz w:val="22"/>
          <w:szCs w:val="22"/>
        </w:rPr>
        <w:t>To hear and determine cases involving all students who are accused of academic dishonesty, as well as student academic grievances against faculty members. Please note that this process applies to both undergraduate and graduate students, as well as all students enrolled in distance education courses or other online courses.</w:t>
      </w:r>
    </w:p>
    <w:p w14:paraId="1358A2E8" w14:textId="77777777" w:rsidR="006600FA" w:rsidRPr="006600FA" w:rsidRDefault="006600FA" w:rsidP="006600FA">
      <w:pPr>
        <w:rPr>
          <w:sz w:val="22"/>
          <w:szCs w:val="22"/>
        </w:rPr>
      </w:pPr>
    </w:p>
    <w:p w14:paraId="0E1CD45B" w14:textId="4A6E4DC9" w:rsidR="008B60B4" w:rsidRDefault="006600FA" w:rsidP="006600FA">
      <w:pPr>
        <w:rPr>
          <w:sz w:val="22"/>
          <w:szCs w:val="22"/>
        </w:rPr>
      </w:pPr>
      <w:r w:rsidRPr="006600FA">
        <w:rPr>
          <w:sz w:val="22"/>
          <w:szCs w:val="22"/>
        </w:rPr>
        <w:t xml:space="preserve"> The principles, processes, and procedures governing these tasks are outlined in policies developed by Student Affairs and then approved by the Academic Senate. Please review Student Code of Conduct Article V, for full details.</w:t>
      </w:r>
    </w:p>
    <w:p w14:paraId="3B130E1E" w14:textId="685F1F81" w:rsidR="0015785A" w:rsidRDefault="0015785A" w:rsidP="006600FA">
      <w:pPr>
        <w:rPr>
          <w:sz w:val="22"/>
          <w:szCs w:val="22"/>
        </w:rPr>
      </w:pPr>
    </w:p>
    <w:p w14:paraId="0BE2852F" w14:textId="0667FA8D" w:rsidR="0015785A" w:rsidRPr="0015785A" w:rsidRDefault="0015785A" w:rsidP="006600FA">
      <w:pPr>
        <w:rPr>
          <w:b/>
          <w:bCs/>
          <w:sz w:val="22"/>
          <w:szCs w:val="22"/>
        </w:rPr>
      </w:pPr>
      <w:r w:rsidRPr="0015785A">
        <w:rPr>
          <w:b/>
          <w:bCs/>
          <w:sz w:val="22"/>
          <w:szCs w:val="22"/>
        </w:rPr>
        <w:t>PROPOSED CHANGES TO CHARGE:</w:t>
      </w:r>
    </w:p>
    <w:p w14:paraId="5F9461AF" w14:textId="77777777" w:rsidR="00A103EA" w:rsidRDefault="00A103EA" w:rsidP="008B60B4">
      <w:pPr>
        <w:rPr>
          <w:rFonts w:ascii="Times New Roman" w:hAnsi="Times New Roman" w:cs="Times New Roman"/>
        </w:rPr>
      </w:pPr>
    </w:p>
    <w:p w14:paraId="3D5BD640" w14:textId="77777777" w:rsidR="006600FA" w:rsidRPr="006600FA" w:rsidRDefault="008B60B4" w:rsidP="006600FA">
      <w:pPr>
        <w:rPr>
          <w:sz w:val="22"/>
          <w:szCs w:val="22"/>
        </w:rPr>
      </w:pPr>
      <w:r w:rsidRPr="0015785A">
        <w:rPr>
          <w:b/>
          <w:bCs/>
          <w:sz w:val="22"/>
          <w:szCs w:val="22"/>
        </w:rPr>
        <w:t>COMPOSITION</w:t>
      </w:r>
      <w:r>
        <w:rPr>
          <w:sz w:val="22"/>
          <w:szCs w:val="22"/>
        </w:rPr>
        <w:t>:</w:t>
      </w:r>
      <w:r w:rsidR="00B6695E">
        <w:rPr>
          <w:sz w:val="22"/>
          <w:szCs w:val="22"/>
        </w:rPr>
        <w:t xml:space="preserve"> </w:t>
      </w:r>
      <w:r w:rsidR="006600FA" w:rsidRPr="006600FA">
        <w:rPr>
          <w:sz w:val="22"/>
          <w:szCs w:val="22"/>
        </w:rPr>
        <w:t>The Subcommittee shall be composed of</w:t>
      </w:r>
    </w:p>
    <w:p w14:paraId="0737268D" w14:textId="77777777" w:rsidR="006600FA" w:rsidRPr="006600FA" w:rsidRDefault="006600FA" w:rsidP="006600FA">
      <w:pPr>
        <w:rPr>
          <w:sz w:val="22"/>
          <w:szCs w:val="22"/>
        </w:rPr>
      </w:pPr>
      <w:r w:rsidRPr="006600FA">
        <w:rPr>
          <w:sz w:val="22"/>
          <w:szCs w:val="22"/>
        </w:rPr>
        <w:t xml:space="preserve">1. The Judicial Chair: Associate Provost for Academic Administration or designee appointed by the </w:t>
      </w:r>
      <w:proofErr w:type="gramStart"/>
      <w:r w:rsidRPr="006600FA">
        <w:rPr>
          <w:sz w:val="22"/>
          <w:szCs w:val="22"/>
        </w:rPr>
        <w:t>Provost</w:t>
      </w:r>
      <w:proofErr w:type="gramEnd"/>
      <w:r w:rsidRPr="006600FA">
        <w:rPr>
          <w:sz w:val="22"/>
          <w:szCs w:val="22"/>
        </w:rPr>
        <w:t xml:space="preserve">. </w:t>
      </w:r>
    </w:p>
    <w:p w14:paraId="69CEA5C5" w14:textId="77777777" w:rsidR="006600FA" w:rsidRPr="006600FA" w:rsidRDefault="006600FA" w:rsidP="006600FA">
      <w:pPr>
        <w:rPr>
          <w:sz w:val="22"/>
          <w:szCs w:val="22"/>
        </w:rPr>
      </w:pPr>
      <w:r w:rsidRPr="006600FA">
        <w:rPr>
          <w:sz w:val="22"/>
          <w:szCs w:val="22"/>
        </w:rPr>
        <w:t xml:space="preserve">2. Faculty members are appointed by the Academic Senate and serve a two (2) year term.  One (1) faculty member shall be selected from each of the six (6) colleges. At least three (3) of these appointees will have graduate faculty status. In addition, Graduate Council will appoint six (6) graduate faculty members, preferably representing each of the six (6) colleges, for hearings involving graduate students and graduate faculty members. </w:t>
      </w:r>
    </w:p>
    <w:p w14:paraId="37BA5966" w14:textId="77777777" w:rsidR="006600FA" w:rsidRPr="006600FA" w:rsidRDefault="006600FA" w:rsidP="006600FA">
      <w:pPr>
        <w:rPr>
          <w:sz w:val="22"/>
          <w:szCs w:val="22"/>
        </w:rPr>
      </w:pPr>
      <w:r w:rsidRPr="006600FA">
        <w:rPr>
          <w:sz w:val="22"/>
          <w:szCs w:val="22"/>
        </w:rPr>
        <w:t>3. In consultation with one another, the Student Government Association and the Associate Vice President for Student Experiences shall appoint student committee members who shall serve a two (2) year term. This appointment shall be based upon the criteria established below. These appointments are subject to approval by the Senate Executive Committee.</w:t>
      </w:r>
    </w:p>
    <w:p w14:paraId="030467F0" w14:textId="77777777" w:rsidR="006600FA" w:rsidRPr="006600FA" w:rsidRDefault="006600FA" w:rsidP="006600FA">
      <w:pPr>
        <w:rPr>
          <w:sz w:val="22"/>
          <w:szCs w:val="22"/>
        </w:rPr>
      </w:pPr>
      <w:r w:rsidRPr="006600FA">
        <w:rPr>
          <w:sz w:val="22"/>
          <w:szCs w:val="22"/>
        </w:rPr>
        <w:t>a. Students must complete an application available at the Student Experiences office.</w:t>
      </w:r>
    </w:p>
    <w:p w14:paraId="5B141969" w14:textId="77777777" w:rsidR="006600FA" w:rsidRPr="006600FA" w:rsidRDefault="006600FA" w:rsidP="006600FA">
      <w:pPr>
        <w:rPr>
          <w:sz w:val="22"/>
          <w:szCs w:val="22"/>
        </w:rPr>
      </w:pPr>
      <w:r w:rsidRPr="006600FA">
        <w:rPr>
          <w:sz w:val="22"/>
          <w:szCs w:val="22"/>
        </w:rPr>
        <w:t>b. One (1) undergraduate is selected from each of the six (6) Colleges.</w:t>
      </w:r>
    </w:p>
    <w:p w14:paraId="2D1FA5F8" w14:textId="77777777" w:rsidR="006600FA" w:rsidRPr="006600FA" w:rsidRDefault="006600FA" w:rsidP="006600FA">
      <w:pPr>
        <w:rPr>
          <w:sz w:val="22"/>
          <w:szCs w:val="22"/>
        </w:rPr>
      </w:pPr>
      <w:proofErr w:type="spellStart"/>
      <w:r w:rsidRPr="006600FA">
        <w:rPr>
          <w:sz w:val="22"/>
          <w:szCs w:val="22"/>
        </w:rPr>
        <w:t>i</w:t>
      </w:r>
      <w:proofErr w:type="spellEnd"/>
      <w:r w:rsidRPr="006600FA">
        <w:rPr>
          <w:sz w:val="22"/>
          <w:szCs w:val="22"/>
        </w:rPr>
        <w:t>. Students must have a minimum GPA of 2.5.</w:t>
      </w:r>
    </w:p>
    <w:p w14:paraId="322ED6E3" w14:textId="77777777" w:rsidR="006600FA" w:rsidRPr="006600FA" w:rsidRDefault="006600FA" w:rsidP="006600FA">
      <w:pPr>
        <w:rPr>
          <w:sz w:val="22"/>
          <w:szCs w:val="22"/>
        </w:rPr>
      </w:pPr>
      <w:r w:rsidRPr="006600FA">
        <w:rPr>
          <w:sz w:val="22"/>
          <w:szCs w:val="22"/>
        </w:rPr>
        <w:t>ii. Students must not have a previous judicial record.</w:t>
      </w:r>
    </w:p>
    <w:p w14:paraId="49F69A5B" w14:textId="77777777" w:rsidR="006600FA" w:rsidRPr="006600FA" w:rsidRDefault="006600FA" w:rsidP="006600FA">
      <w:pPr>
        <w:rPr>
          <w:sz w:val="22"/>
          <w:szCs w:val="22"/>
        </w:rPr>
      </w:pPr>
      <w:r w:rsidRPr="006600FA">
        <w:rPr>
          <w:sz w:val="22"/>
          <w:szCs w:val="22"/>
        </w:rPr>
        <w:t>iii. Students should be sophomore status or above.</w:t>
      </w:r>
    </w:p>
    <w:p w14:paraId="6C4F0130" w14:textId="148C7160" w:rsidR="008B60B4" w:rsidRDefault="006600FA" w:rsidP="006600FA">
      <w:pPr>
        <w:rPr>
          <w:sz w:val="22"/>
          <w:szCs w:val="22"/>
        </w:rPr>
      </w:pPr>
      <w:r w:rsidRPr="006600FA">
        <w:rPr>
          <w:sz w:val="22"/>
          <w:szCs w:val="22"/>
        </w:rPr>
        <w:t>c. In addition, six (6) graduate students (preferably one from each college) will be appointed by the Graduate Council to hear cases involving graduate students and graduate faculty members. These students must be in good standing without a previous judicial record. (From Article V, Section D of The Student Code of Conduct)</w:t>
      </w:r>
    </w:p>
    <w:p w14:paraId="6AE61AF5" w14:textId="77777777" w:rsidR="006600FA" w:rsidRDefault="006600FA" w:rsidP="006600FA">
      <w:pPr>
        <w:rPr>
          <w:sz w:val="22"/>
          <w:szCs w:val="22"/>
        </w:rPr>
      </w:pPr>
    </w:p>
    <w:p w14:paraId="18A513DB" w14:textId="11682236" w:rsidR="006600FA" w:rsidRDefault="006600FA" w:rsidP="006600FA">
      <w:pPr>
        <w:rPr>
          <w:sz w:val="22"/>
          <w:szCs w:val="22"/>
        </w:rPr>
      </w:pPr>
      <w:r w:rsidRPr="006600FA">
        <w:rPr>
          <w:sz w:val="22"/>
          <w:szCs w:val="22"/>
        </w:rPr>
        <w:t>Extended term and means of appointment info: In consultation with one another, the Student Government Association and the Associate Vice President for Student Experiences shall appoint student committee members who shall serve a two (2) year term. This appointment shall be based upon the criteria established below. (See Article V, Section D.3 of The Student Code of Conduct) These appointments are subject to approval by the Senate Executive Committee.</w:t>
      </w:r>
    </w:p>
    <w:p w14:paraId="4F562E46" w14:textId="77777777" w:rsidR="0015785A" w:rsidRDefault="0015785A" w:rsidP="006600FA">
      <w:pPr>
        <w:rPr>
          <w:sz w:val="22"/>
          <w:szCs w:val="22"/>
        </w:rPr>
      </w:pPr>
    </w:p>
    <w:p w14:paraId="79DBDA38" w14:textId="77777777" w:rsidR="0015785A" w:rsidRDefault="0015785A" w:rsidP="0015785A">
      <w:r w:rsidRPr="0015785A">
        <w:rPr>
          <w:b/>
          <w:bCs/>
          <w:sz w:val="22"/>
          <w:szCs w:val="22"/>
        </w:rPr>
        <w:t>CHAIR:</w:t>
      </w:r>
      <w:r>
        <w:rPr>
          <w:b/>
          <w:bCs/>
          <w:sz w:val="22"/>
          <w:szCs w:val="22"/>
        </w:rPr>
        <w:t xml:space="preserve"> </w:t>
      </w:r>
      <w:r>
        <w:rPr>
          <w:sz w:val="22"/>
          <w:szCs w:val="22"/>
        </w:rPr>
        <w:t xml:space="preserve">Jenn </w:t>
      </w:r>
      <w:proofErr w:type="spellStart"/>
      <w:r>
        <w:rPr>
          <w:sz w:val="22"/>
          <w:szCs w:val="22"/>
        </w:rPr>
        <w:t>Pintar</w:t>
      </w:r>
      <w:proofErr w:type="spellEnd"/>
    </w:p>
    <w:p w14:paraId="3F20FEFC" w14:textId="024F9B45" w:rsidR="0015785A" w:rsidRDefault="0015785A" w:rsidP="0015785A">
      <w:pPr>
        <w:rPr>
          <w:b/>
          <w:bCs/>
          <w:sz w:val="22"/>
          <w:szCs w:val="22"/>
        </w:rPr>
      </w:pPr>
    </w:p>
    <w:p w14:paraId="6747E681" w14:textId="7F935B93" w:rsidR="0015785A" w:rsidRDefault="0015785A" w:rsidP="0015785A">
      <w:pPr>
        <w:rPr>
          <w:b/>
          <w:bCs/>
          <w:sz w:val="22"/>
          <w:szCs w:val="22"/>
        </w:rPr>
      </w:pPr>
      <w:r>
        <w:rPr>
          <w:b/>
          <w:bCs/>
          <w:sz w:val="22"/>
          <w:szCs w:val="22"/>
        </w:rPr>
        <w:t>QUALIFCATIONS OF COMMITTEE MEMBERS (IF APPROPRIATE):</w:t>
      </w:r>
    </w:p>
    <w:p w14:paraId="019E42F2" w14:textId="4859BDE4" w:rsidR="0015785A" w:rsidRDefault="0015785A" w:rsidP="0015785A">
      <w:pPr>
        <w:rPr>
          <w:b/>
          <w:bCs/>
          <w:sz w:val="22"/>
          <w:szCs w:val="22"/>
        </w:rPr>
      </w:pPr>
      <w:r>
        <w:rPr>
          <w:b/>
          <w:bCs/>
          <w:sz w:val="22"/>
          <w:szCs w:val="22"/>
        </w:rPr>
        <w:t>MEANS OF APPOINTMENT:</w:t>
      </w:r>
    </w:p>
    <w:p w14:paraId="0A15F0AC" w14:textId="6596BD2B" w:rsidR="0015785A" w:rsidRDefault="0015785A" w:rsidP="0015785A">
      <w:pPr>
        <w:rPr>
          <w:b/>
          <w:bCs/>
          <w:sz w:val="22"/>
          <w:szCs w:val="22"/>
        </w:rPr>
      </w:pPr>
      <w:r>
        <w:rPr>
          <w:b/>
          <w:bCs/>
          <w:sz w:val="22"/>
          <w:szCs w:val="22"/>
        </w:rPr>
        <w:t>MEMBERSHIP TERM:</w:t>
      </w:r>
    </w:p>
    <w:p w14:paraId="60314D00" w14:textId="0EBC71D8" w:rsidR="0015785A" w:rsidRDefault="0015785A" w:rsidP="0015785A">
      <w:pPr>
        <w:rPr>
          <w:b/>
          <w:bCs/>
          <w:sz w:val="22"/>
          <w:szCs w:val="22"/>
        </w:rPr>
      </w:pPr>
      <w:r>
        <w:rPr>
          <w:b/>
          <w:bCs/>
          <w:sz w:val="22"/>
          <w:szCs w:val="22"/>
        </w:rPr>
        <w:t>QUORUM:</w:t>
      </w:r>
    </w:p>
    <w:p w14:paraId="1A3F2BEA" w14:textId="4CBB43A6" w:rsidR="0015785A" w:rsidRDefault="0015785A" w:rsidP="0015785A">
      <w:pPr>
        <w:rPr>
          <w:b/>
          <w:bCs/>
          <w:sz w:val="22"/>
          <w:szCs w:val="22"/>
        </w:rPr>
      </w:pPr>
      <w:r>
        <w:rPr>
          <w:b/>
          <w:bCs/>
          <w:sz w:val="22"/>
          <w:szCs w:val="22"/>
        </w:rPr>
        <w:t>ATTENDANCE:</w:t>
      </w:r>
    </w:p>
    <w:p w14:paraId="0E1B0788" w14:textId="5A627BCA" w:rsidR="0015785A" w:rsidRDefault="0015785A" w:rsidP="0015785A">
      <w:pPr>
        <w:rPr>
          <w:b/>
          <w:bCs/>
          <w:sz w:val="22"/>
          <w:szCs w:val="22"/>
        </w:rPr>
      </w:pPr>
      <w:r>
        <w:rPr>
          <w:b/>
          <w:bCs/>
          <w:sz w:val="22"/>
          <w:szCs w:val="22"/>
        </w:rPr>
        <w:t xml:space="preserve">CHAIR RESPONSIBILITIES: </w:t>
      </w:r>
    </w:p>
    <w:p w14:paraId="52F0E191" w14:textId="2EBCD613" w:rsidR="0015785A" w:rsidRPr="0015785A" w:rsidRDefault="0015785A" w:rsidP="0015785A">
      <w:pPr>
        <w:rPr>
          <w:b/>
          <w:bCs/>
          <w:sz w:val="22"/>
          <w:szCs w:val="22"/>
        </w:rPr>
      </w:pPr>
      <w:r>
        <w:rPr>
          <w:b/>
          <w:bCs/>
          <w:sz w:val="22"/>
          <w:szCs w:val="22"/>
        </w:rPr>
        <w:lastRenderedPageBreak/>
        <w:t>PROPOSED CHANGES TO ANY AREA OTHER THAN CHARGE AND COMPOSITION:</w:t>
      </w:r>
    </w:p>
    <w:p w14:paraId="3BEE0A54" w14:textId="77777777" w:rsidR="0015785A" w:rsidRPr="0015785A" w:rsidRDefault="0015785A" w:rsidP="006600FA">
      <w:pPr>
        <w:rPr>
          <w:b/>
          <w:bCs/>
          <w:sz w:val="22"/>
          <w:szCs w:val="22"/>
        </w:rPr>
      </w:pPr>
    </w:p>
    <w:p w14:paraId="3964A672" w14:textId="77777777" w:rsidR="005A1BAF" w:rsidRDefault="005A1BAF" w:rsidP="008B60B4">
      <w:pPr>
        <w:rPr>
          <w:sz w:val="22"/>
          <w:szCs w:val="22"/>
        </w:rPr>
      </w:pPr>
    </w:p>
    <w:p w14:paraId="6CFF7F5C" w14:textId="03DAAE8E" w:rsidR="00A82F8A" w:rsidRPr="0015785A" w:rsidRDefault="0015785A">
      <w:pPr>
        <w:rPr>
          <w:b/>
          <w:bCs/>
        </w:rPr>
      </w:pPr>
      <w:r>
        <w:rPr>
          <w:b/>
          <w:bCs/>
        </w:rPr>
        <w:t>CURRENT COMPOSTION (MEMBERS AND VACANCIES):</w:t>
      </w:r>
    </w:p>
    <w:sectPr w:rsidR="00A82F8A" w:rsidRPr="0015785A" w:rsidSect="000B35FB">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6C5DD" w14:textId="77777777" w:rsidR="00AF3C27" w:rsidRDefault="00AF3C27" w:rsidP="000B35FB">
      <w:r>
        <w:separator/>
      </w:r>
    </w:p>
  </w:endnote>
  <w:endnote w:type="continuationSeparator" w:id="0">
    <w:p w14:paraId="2709D35A" w14:textId="77777777" w:rsidR="00AF3C27" w:rsidRDefault="00AF3C27" w:rsidP="000B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C5D47" w14:textId="77777777" w:rsidR="000B35FB" w:rsidRDefault="000B35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46005" w14:textId="77777777" w:rsidR="000B35FB" w:rsidRDefault="000B35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B1622" w14:textId="77777777" w:rsidR="000B35FB" w:rsidRDefault="000B3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10A5F0" w14:textId="77777777" w:rsidR="00AF3C27" w:rsidRDefault="00AF3C27" w:rsidP="000B35FB">
      <w:r>
        <w:separator/>
      </w:r>
    </w:p>
  </w:footnote>
  <w:footnote w:type="continuationSeparator" w:id="0">
    <w:p w14:paraId="100868D4" w14:textId="77777777" w:rsidR="00AF3C27" w:rsidRDefault="00AF3C27" w:rsidP="000B3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A4F7F" w14:textId="478BBF43" w:rsidR="000B35FB" w:rsidRDefault="000B35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2B7AA" w14:textId="347354DF" w:rsidR="000B35FB" w:rsidRDefault="000B35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F2030" w14:textId="5735356B" w:rsidR="000B35FB" w:rsidRDefault="000B35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5A4"/>
    <w:rsid w:val="000155EC"/>
    <w:rsid w:val="000226F3"/>
    <w:rsid w:val="0006343C"/>
    <w:rsid w:val="00085958"/>
    <w:rsid w:val="000B35FB"/>
    <w:rsid w:val="000C4DEF"/>
    <w:rsid w:val="000D1990"/>
    <w:rsid w:val="000D508E"/>
    <w:rsid w:val="0015785A"/>
    <w:rsid w:val="00195461"/>
    <w:rsid w:val="001C6A41"/>
    <w:rsid w:val="00253A5B"/>
    <w:rsid w:val="00294B82"/>
    <w:rsid w:val="0029659D"/>
    <w:rsid w:val="00422E67"/>
    <w:rsid w:val="00447DAB"/>
    <w:rsid w:val="00497D77"/>
    <w:rsid w:val="004D20BB"/>
    <w:rsid w:val="00502B73"/>
    <w:rsid w:val="00516343"/>
    <w:rsid w:val="005205A4"/>
    <w:rsid w:val="0058441F"/>
    <w:rsid w:val="005A1BAF"/>
    <w:rsid w:val="006600FA"/>
    <w:rsid w:val="006A11FC"/>
    <w:rsid w:val="006B55A3"/>
    <w:rsid w:val="006D397E"/>
    <w:rsid w:val="0075132B"/>
    <w:rsid w:val="007578AD"/>
    <w:rsid w:val="00774168"/>
    <w:rsid w:val="00781F24"/>
    <w:rsid w:val="00786345"/>
    <w:rsid w:val="007B503C"/>
    <w:rsid w:val="00847AF1"/>
    <w:rsid w:val="008B60B4"/>
    <w:rsid w:val="008B7EA8"/>
    <w:rsid w:val="008D5F2E"/>
    <w:rsid w:val="008F42CF"/>
    <w:rsid w:val="00902BB4"/>
    <w:rsid w:val="009C554A"/>
    <w:rsid w:val="009D5B51"/>
    <w:rsid w:val="00A103EA"/>
    <w:rsid w:val="00A501F6"/>
    <w:rsid w:val="00A62EE9"/>
    <w:rsid w:val="00A65D85"/>
    <w:rsid w:val="00A82F8A"/>
    <w:rsid w:val="00AF3C27"/>
    <w:rsid w:val="00B6695E"/>
    <w:rsid w:val="00D02FB6"/>
    <w:rsid w:val="00D508BF"/>
    <w:rsid w:val="00DC76B8"/>
    <w:rsid w:val="00E13E14"/>
    <w:rsid w:val="00E54B33"/>
    <w:rsid w:val="00EE19A1"/>
    <w:rsid w:val="00F42B51"/>
    <w:rsid w:val="00F64C5E"/>
    <w:rsid w:val="00F82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40EC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205A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FB"/>
    <w:pPr>
      <w:tabs>
        <w:tab w:val="center" w:pos="4680"/>
        <w:tab w:val="right" w:pos="9360"/>
      </w:tabs>
    </w:pPr>
  </w:style>
  <w:style w:type="character" w:customStyle="1" w:styleId="HeaderChar">
    <w:name w:val="Header Char"/>
    <w:basedOn w:val="DefaultParagraphFont"/>
    <w:link w:val="Header"/>
    <w:uiPriority w:val="99"/>
    <w:rsid w:val="000B35FB"/>
  </w:style>
  <w:style w:type="paragraph" w:styleId="Footer">
    <w:name w:val="footer"/>
    <w:basedOn w:val="Normal"/>
    <w:link w:val="FooterChar"/>
    <w:uiPriority w:val="99"/>
    <w:unhideWhenUsed/>
    <w:rsid w:val="000B35FB"/>
    <w:pPr>
      <w:tabs>
        <w:tab w:val="center" w:pos="4680"/>
        <w:tab w:val="right" w:pos="9360"/>
      </w:tabs>
    </w:pPr>
  </w:style>
  <w:style w:type="character" w:customStyle="1" w:styleId="FooterChar">
    <w:name w:val="Footer Char"/>
    <w:basedOn w:val="DefaultParagraphFont"/>
    <w:link w:val="Footer"/>
    <w:uiPriority w:val="99"/>
    <w:rsid w:val="000B35FB"/>
  </w:style>
  <w:style w:type="paragraph" w:styleId="NormalWeb">
    <w:name w:val="Normal (Web)"/>
    <w:basedOn w:val="Normal"/>
    <w:uiPriority w:val="99"/>
    <w:semiHidden/>
    <w:unhideWhenUsed/>
    <w:rsid w:val="00B6695E"/>
    <w:pPr>
      <w:spacing w:before="100" w:beforeAutospacing="1" w:after="100" w:afterAutospacing="1"/>
    </w:pPr>
    <w:rPr>
      <w:rFonts w:ascii="Times New Roman" w:eastAsiaTheme="minorEastAsia" w:hAnsi="Times New Roman" w:cs="Times New Roman"/>
    </w:rPr>
  </w:style>
  <w:style w:type="table" w:styleId="TableGrid">
    <w:name w:val="Table Grid"/>
    <w:basedOn w:val="TableNormal"/>
    <w:uiPriority w:val="39"/>
    <w:rsid w:val="001C6A41"/>
    <w:rPr>
      <w:rFonts w:ascii="Times New Roman" w:eastAsia="Times New Roman" w:hAnsi="Times New Roman" w:cs="Times New Roman"/>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00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871491">
      <w:bodyDiv w:val="1"/>
      <w:marLeft w:val="0"/>
      <w:marRight w:val="0"/>
      <w:marTop w:val="0"/>
      <w:marBottom w:val="0"/>
      <w:divBdr>
        <w:top w:val="none" w:sz="0" w:space="0" w:color="auto"/>
        <w:left w:val="none" w:sz="0" w:space="0" w:color="auto"/>
        <w:bottom w:val="none" w:sz="0" w:space="0" w:color="auto"/>
        <w:right w:val="none" w:sz="0" w:space="0" w:color="auto"/>
      </w:divBdr>
    </w:div>
    <w:div w:id="745616481">
      <w:bodyDiv w:val="1"/>
      <w:marLeft w:val="0"/>
      <w:marRight w:val="0"/>
      <w:marTop w:val="0"/>
      <w:marBottom w:val="0"/>
      <w:divBdr>
        <w:top w:val="none" w:sz="0" w:space="0" w:color="auto"/>
        <w:left w:val="none" w:sz="0" w:space="0" w:color="auto"/>
        <w:bottom w:val="none" w:sz="0" w:space="0" w:color="auto"/>
        <w:right w:val="none" w:sz="0" w:space="0" w:color="auto"/>
      </w:divBdr>
    </w:div>
    <w:div w:id="783425209">
      <w:bodyDiv w:val="1"/>
      <w:marLeft w:val="0"/>
      <w:marRight w:val="0"/>
      <w:marTop w:val="0"/>
      <w:marBottom w:val="0"/>
      <w:divBdr>
        <w:top w:val="none" w:sz="0" w:space="0" w:color="auto"/>
        <w:left w:val="none" w:sz="0" w:space="0" w:color="auto"/>
        <w:bottom w:val="none" w:sz="0" w:space="0" w:color="auto"/>
        <w:right w:val="none" w:sz="0" w:space="0" w:color="auto"/>
      </w:divBdr>
    </w:div>
    <w:div w:id="1493445590">
      <w:bodyDiv w:val="1"/>
      <w:marLeft w:val="0"/>
      <w:marRight w:val="0"/>
      <w:marTop w:val="0"/>
      <w:marBottom w:val="0"/>
      <w:divBdr>
        <w:top w:val="none" w:sz="0" w:space="0" w:color="auto"/>
        <w:left w:val="none" w:sz="0" w:space="0" w:color="auto"/>
        <w:bottom w:val="none" w:sz="0" w:space="0" w:color="auto"/>
        <w:right w:val="none" w:sz="0" w:space="0" w:color="auto"/>
      </w:divBdr>
    </w:div>
    <w:div w:id="1737438900">
      <w:bodyDiv w:val="1"/>
      <w:marLeft w:val="0"/>
      <w:marRight w:val="0"/>
      <w:marTop w:val="0"/>
      <w:marBottom w:val="0"/>
      <w:divBdr>
        <w:top w:val="none" w:sz="0" w:space="0" w:color="auto"/>
        <w:left w:val="none" w:sz="0" w:space="0" w:color="auto"/>
        <w:bottom w:val="none" w:sz="0" w:space="0" w:color="auto"/>
        <w:right w:val="none" w:sz="0" w:space="0" w:color="auto"/>
      </w:divBdr>
    </w:div>
    <w:div w:id="1744183984">
      <w:bodyDiv w:val="1"/>
      <w:marLeft w:val="0"/>
      <w:marRight w:val="0"/>
      <w:marTop w:val="0"/>
      <w:marBottom w:val="0"/>
      <w:divBdr>
        <w:top w:val="none" w:sz="0" w:space="0" w:color="auto"/>
        <w:left w:val="none" w:sz="0" w:space="0" w:color="auto"/>
        <w:bottom w:val="none" w:sz="0" w:space="0" w:color="auto"/>
        <w:right w:val="none" w:sz="0" w:space="0" w:color="auto"/>
      </w:divBdr>
    </w:div>
    <w:div w:id="18668222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FA51DBF26D2414CA2BF6B09F67DA4B6" ma:contentTypeVersion="6" ma:contentTypeDescription="Create a new document." ma:contentTypeScope="" ma:versionID="49b37b14ed53becf5724bea7a5700f1f">
  <xsd:schema xmlns:xsd="http://www.w3.org/2001/XMLSchema" xmlns:xs="http://www.w3.org/2001/XMLSchema" xmlns:p="http://schemas.microsoft.com/office/2006/metadata/properties" xmlns:ns2="1af6a46a-3f60-479f-9e1f-9a3ba966fdcd" xmlns:ns3="792b4db5-9eae-48ab-94af-652ae71ddbaf" targetNamespace="http://schemas.microsoft.com/office/2006/metadata/properties" ma:root="true" ma:fieldsID="4b378a054689335d5417b8b5d804518a" ns2:_="" ns3:_="">
    <xsd:import namespace="1af6a46a-3f60-479f-9e1f-9a3ba966fdcd"/>
    <xsd:import namespace="792b4db5-9eae-48ab-94af-652ae71ddb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6a46a-3f60-479f-9e1f-9a3ba966fd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b4db5-9eae-48ab-94af-652ae71ddb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D9A8D-B63F-41D8-8168-3E63FD040D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9C44B0-51A9-417B-A712-3F076EAD3B01}">
  <ds:schemaRefs>
    <ds:schemaRef ds:uri="http://schemas.microsoft.com/sharepoint/v3/contenttype/forms"/>
  </ds:schemaRefs>
</ds:datastoreItem>
</file>

<file path=customXml/itemProps3.xml><?xml version="1.0" encoding="utf-8"?>
<ds:datastoreItem xmlns:ds="http://schemas.openxmlformats.org/officeDocument/2006/customXml" ds:itemID="{8466B033-1CAB-2445-97E9-F29538E5A4AD}">
  <ds:schemaRefs>
    <ds:schemaRef ds:uri="http://schemas.openxmlformats.org/officeDocument/2006/bibliography"/>
  </ds:schemaRefs>
</ds:datastoreItem>
</file>

<file path=customXml/itemProps4.xml><?xml version="1.0" encoding="utf-8"?>
<ds:datastoreItem xmlns:ds="http://schemas.openxmlformats.org/officeDocument/2006/customXml" ds:itemID="{80B93A86-408C-4E4E-9F3A-AAF8A262A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f6a46a-3f60-479f-9e1f-9a3ba966fdcd"/>
    <ds:schemaRef ds:uri="792b4db5-9eae-48ab-94af-652ae71dd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Ankit Kumar Kharga</cp:lastModifiedBy>
  <cp:revision>2</cp:revision>
  <cp:lastPrinted>2019-07-19T14:25:00Z</cp:lastPrinted>
  <dcterms:created xsi:type="dcterms:W3CDTF">2025-09-08T14:15:00Z</dcterms:created>
  <dcterms:modified xsi:type="dcterms:W3CDTF">2025-09-08T14:15:00Z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0x0101003FA51DBF26D2414CA2BF6B09F67DA4B6</vt:lpwstr>
  </property>
</Properties>
</file>