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E135" w14:textId="77777777" w:rsidR="00DA2CAC" w:rsidRDefault="009B380E" w:rsidP="00DA2CAC">
      <w:pPr>
        <w:spacing w:after="0" w:line="240" w:lineRule="auto"/>
        <w:rPr>
          <w:rFonts w:ascii="Times New Roman" w:eastAsia="Times New Roman" w:hAnsi="Times New Roman" w:cs="Times New Roman"/>
          <w:b/>
          <w:szCs w:val="24"/>
        </w:rPr>
      </w:pPr>
      <w:r w:rsidRPr="006E2A39">
        <w:rPr>
          <w:rFonts w:ascii="Times New Roman" w:eastAsia="Times New Roman" w:hAnsi="Times New Roman" w:cs="Times New Roman"/>
          <w:b/>
          <w:szCs w:val="24"/>
        </w:rPr>
        <w:t>3356-</w:t>
      </w:r>
      <w:r w:rsidR="00DA2CAC" w:rsidRPr="006E2A39">
        <w:rPr>
          <w:rFonts w:ascii="Times New Roman" w:eastAsia="Times New Roman" w:hAnsi="Times New Roman" w:cs="Times New Roman"/>
          <w:b/>
          <w:szCs w:val="24"/>
        </w:rPr>
        <w:t>4-0</w:t>
      </w:r>
      <w:r w:rsidR="00666474" w:rsidRPr="006E2A39">
        <w:rPr>
          <w:rFonts w:ascii="Times New Roman" w:eastAsia="Times New Roman" w:hAnsi="Times New Roman" w:cs="Times New Roman"/>
          <w:b/>
          <w:szCs w:val="24"/>
        </w:rPr>
        <w:t>5</w:t>
      </w:r>
      <w:r w:rsidR="004C63CC">
        <w:rPr>
          <w:rFonts w:ascii="Times New Roman" w:eastAsia="Times New Roman" w:hAnsi="Times New Roman" w:cs="Times New Roman"/>
          <w:b/>
          <w:szCs w:val="24"/>
        </w:rPr>
        <w:tab/>
      </w:r>
      <w:r w:rsidR="00DA2CAC" w:rsidRPr="006E2A39">
        <w:rPr>
          <w:rFonts w:ascii="Times New Roman" w:eastAsia="Times New Roman" w:hAnsi="Times New Roman" w:cs="Times New Roman"/>
          <w:b/>
          <w:szCs w:val="24"/>
        </w:rPr>
        <w:t xml:space="preserve">Acquisition of real estate. </w:t>
      </w:r>
    </w:p>
    <w:p w14:paraId="0830AA90" w14:textId="77777777" w:rsidR="000058A3" w:rsidRDefault="000058A3" w:rsidP="00DA2CAC">
      <w:pPr>
        <w:spacing w:after="0" w:line="240" w:lineRule="auto"/>
        <w:rPr>
          <w:rFonts w:ascii="Times New Roman" w:eastAsia="Times New Roman" w:hAnsi="Times New Roman" w:cs="Times New Roman"/>
          <w:b/>
          <w:szCs w:val="24"/>
        </w:rPr>
      </w:pPr>
    </w:p>
    <w:p w14:paraId="4E0C16FA" w14:textId="77777777" w:rsidR="000058A3" w:rsidRDefault="000058A3" w:rsidP="00DA2CAC">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00F66533">
        <w:rPr>
          <w:rFonts w:ascii="Times New Roman" w:eastAsia="Times New Roman" w:hAnsi="Times New Roman" w:cs="Times New Roman"/>
          <w:szCs w:val="24"/>
        </w:rPr>
        <w:t>Division/</w:t>
      </w:r>
      <w:r>
        <w:rPr>
          <w:rFonts w:ascii="Times New Roman" w:eastAsia="Times New Roman" w:hAnsi="Times New Roman" w:cs="Times New Roman"/>
          <w:szCs w:val="24"/>
        </w:rPr>
        <w:t>Office:</w:t>
      </w:r>
      <w:r w:rsidR="004C63CC">
        <w:rPr>
          <w:rFonts w:ascii="Times New Roman" w:eastAsia="Times New Roman" w:hAnsi="Times New Roman" w:cs="Times New Roman"/>
          <w:szCs w:val="24"/>
        </w:rPr>
        <w:tab/>
      </w:r>
      <w:r>
        <w:rPr>
          <w:rFonts w:ascii="Times New Roman" w:eastAsia="Times New Roman" w:hAnsi="Times New Roman" w:cs="Times New Roman"/>
          <w:szCs w:val="24"/>
        </w:rPr>
        <w:t xml:space="preserve">Finance and </w:t>
      </w:r>
      <w:r w:rsidR="00C356AA">
        <w:rPr>
          <w:rFonts w:ascii="Times New Roman" w:eastAsia="Times New Roman" w:hAnsi="Times New Roman" w:cs="Times New Roman"/>
          <w:szCs w:val="24"/>
        </w:rPr>
        <w:t>Business Operations</w:t>
      </w:r>
    </w:p>
    <w:p w14:paraId="40DA454B" w14:textId="2E097A56" w:rsidR="000058A3" w:rsidRDefault="000058A3" w:rsidP="00DA2CAC">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Responsible Officer:</w:t>
      </w:r>
      <w:r>
        <w:rPr>
          <w:rFonts w:ascii="Times New Roman" w:eastAsia="Times New Roman" w:hAnsi="Times New Roman" w:cs="Times New Roman"/>
          <w:szCs w:val="24"/>
        </w:rPr>
        <w:tab/>
      </w:r>
      <w:r>
        <w:rPr>
          <w:rFonts w:ascii="Times New Roman" w:eastAsia="Times New Roman" w:hAnsi="Times New Roman" w:cs="Times New Roman"/>
          <w:szCs w:val="24"/>
        </w:rPr>
        <w:tab/>
      </w:r>
      <w:r w:rsidR="00845926">
        <w:rPr>
          <w:rFonts w:ascii="Times New Roman" w:eastAsia="Times New Roman" w:hAnsi="Times New Roman" w:cs="Times New Roman"/>
          <w:szCs w:val="24"/>
        </w:rPr>
        <w:t>V</w:t>
      </w:r>
      <w:r w:rsidR="0029719D">
        <w:rPr>
          <w:rFonts w:ascii="Times New Roman" w:eastAsia="Times New Roman" w:hAnsi="Times New Roman" w:cs="Times New Roman"/>
          <w:szCs w:val="24"/>
        </w:rPr>
        <w:t xml:space="preserve">ice </w:t>
      </w:r>
      <w:r w:rsidR="00845926">
        <w:rPr>
          <w:rFonts w:ascii="Times New Roman" w:eastAsia="Times New Roman" w:hAnsi="Times New Roman" w:cs="Times New Roman"/>
          <w:szCs w:val="24"/>
        </w:rPr>
        <w:t>P</w:t>
      </w:r>
      <w:r w:rsidR="0029719D">
        <w:rPr>
          <w:rFonts w:ascii="Times New Roman" w:eastAsia="Times New Roman" w:hAnsi="Times New Roman" w:cs="Times New Roman"/>
          <w:szCs w:val="24"/>
        </w:rPr>
        <w:t>resident</w:t>
      </w:r>
      <w:r w:rsidR="00845926">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for Finance and </w:t>
      </w:r>
      <w:r w:rsidR="00C356AA">
        <w:rPr>
          <w:rFonts w:ascii="Times New Roman" w:eastAsia="Times New Roman" w:hAnsi="Times New Roman" w:cs="Times New Roman"/>
          <w:szCs w:val="24"/>
        </w:rPr>
        <w:t>Business Operations</w:t>
      </w:r>
    </w:p>
    <w:p w14:paraId="10A12B3C" w14:textId="6BADE30D" w:rsidR="000058A3" w:rsidRPr="000058A3" w:rsidRDefault="000058A3" w:rsidP="004C63CC">
      <w:pPr>
        <w:spacing w:after="0" w:line="240" w:lineRule="auto"/>
        <w:ind w:left="2880" w:hanging="2880"/>
        <w:rPr>
          <w:rFonts w:ascii="Times New Roman" w:eastAsia="Times New Roman" w:hAnsi="Times New Roman" w:cs="Times New Roman"/>
          <w:szCs w:val="24"/>
        </w:rPr>
      </w:pPr>
      <w:r>
        <w:rPr>
          <w:rFonts w:ascii="Times New Roman" w:eastAsia="Times New Roman" w:hAnsi="Times New Roman" w:cs="Times New Roman"/>
          <w:szCs w:val="24"/>
        </w:rPr>
        <w:t>Revision History:</w:t>
      </w:r>
      <w:r>
        <w:rPr>
          <w:rFonts w:ascii="Times New Roman" w:eastAsia="Times New Roman" w:hAnsi="Times New Roman" w:cs="Times New Roman"/>
          <w:szCs w:val="24"/>
        </w:rPr>
        <w:tab/>
      </w:r>
      <w:r w:rsidRPr="006E2A39">
        <w:rPr>
          <w:rFonts w:ascii="Times New Roman" w:hAnsi="Times New Roman" w:cs="Times New Roman"/>
        </w:rPr>
        <w:t>April 1998; March 2001; March 2002; Sept</w:t>
      </w:r>
      <w:r w:rsidR="004C63CC">
        <w:rPr>
          <w:rFonts w:ascii="Times New Roman" w:hAnsi="Times New Roman" w:cs="Times New Roman"/>
        </w:rPr>
        <w:t xml:space="preserve">ember 2004; </w:t>
      </w:r>
      <w:r w:rsidRPr="006E2A39">
        <w:rPr>
          <w:rFonts w:ascii="Times New Roman" w:hAnsi="Times New Roman" w:cs="Times New Roman"/>
        </w:rPr>
        <w:t>Oct</w:t>
      </w:r>
      <w:r w:rsidR="004C63CC">
        <w:rPr>
          <w:rFonts w:ascii="Times New Roman" w:hAnsi="Times New Roman" w:cs="Times New Roman"/>
        </w:rPr>
        <w:t>ober</w:t>
      </w:r>
      <w:r w:rsidRPr="006E2A39">
        <w:rPr>
          <w:rFonts w:ascii="Times New Roman" w:hAnsi="Times New Roman" w:cs="Times New Roman"/>
        </w:rPr>
        <w:t xml:space="preserve"> 2010; June 2015</w:t>
      </w:r>
      <w:r w:rsidR="00C356AA">
        <w:rPr>
          <w:rFonts w:ascii="Times New Roman" w:hAnsi="Times New Roman" w:cs="Times New Roman"/>
        </w:rPr>
        <w:t>; March 2021</w:t>
      </w:r>
      <w:r w:rsidR="00BA2A7D">
        <w:rPr>
          <w:rFonts w:ascii="Times New Roman" w:hAnsi="Times New Roman" w:cs="Times New Roman"/>
        </w:rPr>
        <w:t>; March 2026</w:t>
      </w:r>
    </w:p>
    <w:p w14:paraId="1204603C" w14:textId="77777777" w:rsidR="000058A3" w:rsidRPr="006E2A39" w:rsidRDefault="000058A3" w:rsidP="000058A3">
      <w:pPr>
        <w:spacing w:after="0" w:line="240" w:lineRule="auto"/>
        <w:rPr>
          <w:rFonts w:ascii="Times New Roman" w:hAnsi="Times New Roman" w:cs="Times New Roman"/>
        </w:rPr>
      </w:pPr>
      <w:r w:rsidRPr="006E2A39">
        <w:rPr>
          <w:rFonts w:ascii="Times New Roman" w:hAnsi="Times New Roman" w:cs="Times New Roman"/>
        </w:rPr>
        <w:t>Board Committee:</w:t>
      </w:r>
      <w:r w:rsidRPr="006E2A39">
        <w:rPr>
          <w:rFonts w:ascii="Times New Roman" w:hAnsi="Times New Roman" w:cs="Times New Roman"/>
        </w:rPr>
        <w:tab/>
      </w:r>
      <w:r>
        <w:rPr>
          <w:rFonts w:ascii="Times New Roman" w:hAnsi="Times New Roman" w:cs="Times New Roman"/>
        </w:rPr>
        <w:tab/>
      </w:r>
      <w:r w:rsidRPr="006E2A39">
        <w:rPr>
          <w:rFonts w:ascii="Times New Roman" w:hAnsi="Times New Roman" w:cs="Times New Roman"/>
        </w:rPr>
        <w:t>Finance and Facilities</w:t>
      </w:r>
    </w:p>
    <w:p w14:paraId="4CECA38E" w14:textId="2A8B3B52" w:rsidR="000058A3" w:rsidRDefault="00F66533" w:rsidP="000058A3">
      <w:pPr>
        <w:spacing w:after="0" w:line="240" w:lineRule="auto"/>
        <w:rPr>
          <w:rFonts w:ascii="Times New Roman" w:hAnsi="Times New Roman" w:cs="Times New Roman"/>
          <w:b/>
        </w:rPr>
      </w:pPr>
      <w:r>
        <w:rPr>
          <w:rFonts w:ascii="Times New Roman" w:hAnsi="Times New Roman" w:cs="Times New Roman"/>
          <w:b/>
        </w:rPr>
        <w:t xml:space="preserve">Effective </w:t>
      </w:r>
      <w:r w:rsidR="004C63CC">
        <w:rPr>
          <w:rFonts w:ascii="Times New Roman" w:hAnsi="Times New Roman" w:cs="Times New Roman"/>
          <w:b/>
        </w:rPr>
        <w:t>Date</w:t>
      </w:r>
      <w:r w:rsidR="000058A3" w:rsidRPr="00BD7615">
        <w:rPr>
          <w:rFonts w:ascii="Times New Roman" w:hAnsi="Times New Roman" w:cs="Times New Roman"/>
          <w:b/>
        </w:rPr>
        <w:t>:</w:t>
      </w:r>
      <w:r>
        <w:rPr>
          <w:rFonts w:ascii="Times New Roman" w:hAnsi="Times New Roman" w:cs="Times New Roman"/>
          <w:b/>
        </w:rPr>
        <w:tab/>
      </w:r>
      <w:r w:rsidR="000058A3" w:rsidRPr="00BD7615">
        <w:rPr>
          <w:rFonts w:ascii="Times New Roman" w:hAnsi="Times New Roman" w:cs="Times New Roman"/>
          <w:b/>
        </w:rPr>
        <w:tab/>
      </w:r>
      <w:r w:rsidR="008562EB">
        <w:rPr>
          <w:rFonts w:ascii="Times New Roman" w:hAnsi="Times New Roman" w:cs="Times New Roman"/>
          <w:b/>
        </w:rPr>
        <w:t>March 19, 2026</w:t>
      </w:r>
    </w:p>
    <w:p w14:paraId="2D4B5C8C" w14:textId="3A6F7B7A" w:rsidR="000058A3" w:rsidRPr="006E2A39" w:rsidRDefault="000058A3" w:rsidP="000058A3">
      <w:pPr>
        <w:spacing w:after="0" w:line="240" w:lineRule="auto"/>
        <w:rPr>
          <w:rFonts w:ascii="Times New Roman" w:hAnsi="Times New Roman" w:cs="Times New Roman"/>
        </w:rPr>
      </w:pPr>
      <w:r w:rsidRPr="006E2A39">
        <w:rPr>
          <w:rFonts w:ascii="Times New Roman" w:hAnsi="Times New Roman" w:cs="Times New Roman"/>
        </w:rPr>
        <w:t>Next review:</w:t>
      </w:r>
      <w:r w:rsidRPr="006E2A39">
        <w:rPr>
          <w:rFonts w:ascii="Times New Roman" w:hAnsi="Times New Roman" w:cs="Times New Roman"/>
        </w:rPr>
        <w:tab/>
      </w:r>
      <w:r w:rsidR="00C356AA">
        <w:rPr>
          <w:rFonts w:ascii="Times New Roman" w:hAnsi="Times New Roman" w:cs="Times New Roman"/>
        </w:rPr>
        <w:tab/>
      </w:r>
      <w:r w:rsidR="00C356AA">
        <w:rPr>
          <w:rFonts w:ascii="Times New Roman" w:hAnsi="Times New Roman" w:cs="Times New Roman"/>
        </w:rPr>
        <w:tab/>
      </w:r>
      <w:r w:rsidR="008562EB">
        <w:rPr>
          <w:rFonts w:ascii="Times New Roman" w:hAnsi="Times New Roman" w:cs="Times New Roman"/>
        </w:rPr>
        <w:t>2031</w:t>
      </w:r>
    </w:p>
    <w:p w14:paraId="51B93371" w14:textId="117A8EFC" w:rsidR="006E2A39" w:rsidRPr="006E2A39" w:rsidRDefault="000058A3" w:rsidP="0054316A">
      <w:pPr>
        <w:spacing w:after="0" w:line="240" w:lineRule="auto"/>
        <w:rPr>
          <w:rFonts w:ascii="Times New Roman" w:eastAsia="Times New Roman" w:hAnsi="Times New Roman" w:cs="Times New Roman"/>
          <w:b/>
          <w:szCs w:val="24"/>
        </w:rPr>
      </w:pPr>
      <w:r>
        <w:rPr>
          <w:rFonts w:ascii="Times New Roman" w:hAnsi="Times New Roman" w:cs="Times New Roman"/>
          <w:b/>
        </w:rPr>
        <w:t>__________________________________________________________________</w:t>
      </w:r>
    </w:p>
    <w:p w14:paraId="0E1D8363" w14:textId="0D542DF8" w:rsidR="00C356AA" w:rsidRPr="006E2A39" w:rsidRDefault="00C356AA" w:rsidP="00E006D0">
      <w:pPr>
        <w:autoSpaceDE w:val="0"/>
        <w:autoSpaceDN w:val="0"/>
        <w:adjustRightInd w:val="0"/>
        <w:spacing w:before="240"/>
        <w:ind w:left="720" w:hanging="720"/>
        <w:rPr>
          <w:rFonts w:ascii="Times New Roman" w:eastAsia="Times New Roman" w:hAnsi="Times New Roman" w:cs="Times New Roman"/>
          <w:szCs w:val="24"/>
        </w:rPr>
      </w:pPr>
      <w:r w:rsidRPr="006E2A39">
        <w:rPr>
          <w:rFonts w:ascii="Times New Roman" w:eastAsia="Times New Roman" w:hAnsi="Times New Roman" w:cs="Times New Roman"/>
          <w:szCs w:val="24"/>
        </w:rPr>
        <w:t>(A)</w:t>
      </w:r>
      <w:r w:rsidRPr="006E2A39">
        <w:rPr>
          <w:rFonts w:ascii="Times New Roman" w:eastAsia="Times New Roman" w:hAnsi="Times New Roman" w:cs="Times New Roman"/>
          <w:szCs w:val="24"/>
        </w:rPr>
        <w:tab/>
        <w:t xml:space="preserve">Policy statement.  The board of trustees designates the geographical area in the vicinity of the </w:t>
      </w:r>
      <w:r w:rsidR="00BA73A0">
        <w:rPr>
          <w:rFonts w:ascii="Times New Roman" w:eastAsia="Times New Roman" w:hAnsi="Times New Roman" w:cs="Times New Roman"/>
          <w:szCs w:val="24"/>
        </w:rPr>
        <w:t xml:space="preserve">Youngstown, Ohio </w:t>
      </w:r>
      <w:r w:rsidRPr="006E2A39">
        <w:rPr>
          <w:rFonts w:ascii="Times New Roman" w:eastAsia="Times New Roman" w:hAnsi="Times New Roman" w:cs="Times New Roman"/>
          <w:szCs w:val="24"/>
        </w:rPr>
        <w:t xml:space="preserve">campus within which the university may seek to acquire real estate.  A willing seller/buyer approach will be used as a guiding principle on the acquisition of property.  Authority to negotiate preliminary purchases of real estate is delegated to the president and/or designee.  Final approval to acquire real estate rests with the board of trustees.  </w:t>
      </w:r>
      <w:r>
        <w:rPr>
          <w:rFonts w:ascii="Times New Roman" w:eastAsia="Times New Roman" w:hAnsi="Times New Roman" w:cs="Times New Roman"/>
          <w:szCs w:val="24"/>
        </w:rPr>
        <w:t>(</w:t>
      </w:r>
      <w:r w:rsidRPr="006E2A39">
        <w:rPr>
          <w:rFonts w:ascii="Times New Roman" w:eastAsia="Times New Roman" w:hAnsi="Times New Roman" w:cs="Times New Roman"/>
          <w:szCs w:val="24"/>
        </w:rPr>
        <w:t xml:space="preserve">Nothing in this policy statement shall be construed as to limit the authority of the board or of its finance and </w:t>
      </w:r>
      <w:r w:rsidRPr="00DA54B1">
        <w:rPr>
          <w:rFonts w:ascii="Times New Roman" w:eastAsia="Times New Roman" w:hAnsi="Times New Roman" w:cs="Times New Roman"/>
          <w:szCs w:val="24"/>
        </w:rPr>
        <w:t>facilities committee.)</w:t>
      </w:r>
      <w:r w:rsidRPr="006E2A39">
        <w:rPr>
          <w:rFonts w:ascii="Times New Roman" w:eastAsia="Times New Roman" w:hAnsi="Times New Roman" w:cs="Times New Roman"/>
          <w:szCs w:val="24"/>
        </w:rPr>
        <w:t>(B)</w:t>
      </w:r>
      <w:r w:rsidRPr="006E2A39">
        <w:rPr>
          <w:rFonts w:ascii="Times New Roman" w:eastAsia="Times New Roman" w:hAnsi="Times New Roman" w:cs="Times New Roman"/>
          <w:szCs w:val="24"/>
        </w:rPr>
        <w:tab/>
        <w:t xml:space="preserve">Parameters. </w:t>
      </w:r>
    </w:p>
    <w:p w14:paraId="29E3B7DB" w14:textId="18A9D717" w:rsidR="00C356AA" w:rsidRPr="006E2A39"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t>(1)</w:t>
      </w:r>
      <w:r w:rsidRPr="006E2A39">
        <w:rPr>
          <w:rFonts w:ascii="Times New Roman" w:eastAsia="Times New Roman" w:hAnsi="Times New Roman" w:cs="Times New Roman"/>
          <w:szCs w:val="24"/>
        </w:rPr>
        <w:tab/>
        <w:t xml:space="preserve">The university has a primary area of geographic interest that has been jointly agreed to by the university and the </w:t>
      </w:r>
      <w:r w:rsidRPr="00C356AA">
        <w:rPr>
          <w:rFonts w:ascii="Times New Roman" w:eastAsia="Times New Roman" w:hAnsi="Times New Roman" w:cs="Times New Roman"/>
          <w:szCs w:val="24"/>
        </w:rPr>
        <w:t>Ohio department of higher education</w:t>
      </w:r>
      <w:r w:rsidRPr="006E2A39">
        <w:rPr>
          <w:rFonts w:ascii="Times New Roman" w:eastAsia="Times New Roman" w:hAnsi="Times New Roman" w:cs="Times New Roman"/>
          <w:szCs w:val="24"/>
        </w:rPr>
        <w:t xml:space="preserve">.  This area is defined as follows: </w:t>
      </w:r>
    </w:p>
    <w:p w14:paraId="4D3A25E2" w14:textId="55C3116E"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(a)</w:t>
      </w:r>
      <w:r w:rsidRPr="006E2A39">
        <w:rPr>
          <w:rFonts w:ascii="Times New Roman" w:eastAsia="Times New Roman" w:hAnsi="Times New Roman" w:cs="Times New Roman"/>
          <w:szCs w:val="24"/>
        </w:rPr>
        <w:tab/>
        <w:t xml:space="preserve">A southern boundary beginning at the intersection of Rayen avenue and Belmont avenue, running east on Rayen avenue, south on Fifth avenue, east on Wood street, north on Wick avenue, east on Rayen avenue to Andrews avenue. </w:t>
      </w:r>
    </w:p>
    <w:p w14:paraId="1323900E" w14:textId="10714F1D"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(b)</w:t>
      </w:r>
      <w:r w:rsidRPr="006E2A39">
        <w:rPr>
          <w:rFonts w:ascii="Times New Roman" w:eastAsia="Times New Roman" w:hAnsi="Times New Roman" w:cs="Times New Roman"/>
          <w:szCs w:val="24"/>
        </w:rPr>
        <w:tab/>
        <w:t xml:space="preserve">An eastern boundary generally consisting of the line running north on Andrews avenue to the intersection with the eastbound access road. </w:t>
      </w:r>
    </w:p>
    <w:p w14:paraId="5D8D2960" w14:textId="45F1B0A5"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(c)</w:t>
      </w:r>
      <w:r w:rsidRPr="006E2A39">
        <w:rPr>
          <w:rFonts w:ascii="Times New Roman" w:eastAsia="Times New Roman" w:hAnsi="Times New Roman" w:cs="Times New Roman"/>
          <w:szCs w:val="24"/>
        </w:rPr>
        <w:tab/>
        <w:t xml:space="preserve">A northern boundary generally consisting of the line running west on the eastbound access road to Wick avenue, north on Wick avenue to a point one hundred ten feet north of the westbound access road, west to Bryson street, north </w:t>
      </w:r>
      <w:r w:rsidRPr="006E2A39">
        <w:rPr>
          <w:rFonts w:ascii="Times New Roman" w:eastAsia="Times New Roman" w:hAnsi="Times New Roman" w:cs="Times New Roman"/>
          <w:szCs w:val="24"/>
        </w:rPr>
        <w:lastRenderedPageBreak/>
        <w:t xml:space="preserve">on Bryson street to Madison avenue, west on Madison avenue to the intersection at Fifth avenue, south on Fifth avenue to the eastbound access </w:t>
      </w:r>
      <w:r w:rsidRPr="00C356AA">
        <w:rPr>
          <w:rFonts w:ascii="Times New Roman" w:eastAsia="Times New Roman" w:hAnsi="Times New Roman" w:cs="Times New Roman"/>
          <w:szCs w:val="24"/>
        </w:rPr>
        <w:t>road</w:t>
      </w:r>
      <w:r w:rsidRPr="006E2A39">
        <w:rPr>
          <w:rFonts w:ascii="Times New Roman" w:eastAsia="Times New Roman" w:hAnsi="Times New Roman" w:cs="Times New Roman"/>
          <w:szCs w:val="24"/>
        </w:rPr>
        <w:t xml:space="preserve">, and west on the eastbound access road to Ford avenue. </w:t>
      </w:r>
    </w:p>
    <w:p w14:paraId="428AAA15" w14:textId="3908EBAD"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(d)</w:t>
      </w:r>
      <w:r w:rsidRPr="006E2A39">
        <w:rPr>
          <w:rFonts w:ascii="Times New Roman" w:eastAsia="Times New Roman" w:hAnsi="Times New Roman" w:cs="Times New Roman"/>
          <w:szCs w:val="24"/>
        </w:rPr>
        <w:tab/>
        <w:t xml:space="preserve">A western boundary generally consisting of the line running south on Ford avenue to Scott street, west on Scott street to Belmont avenue, south on Belmont avenue to </w:t>
      </w:r>
      <w:smartTag w:uri="urn:schemas-microsoft-com:office:smarttags" w:element="address">
        <w:smartTag w:uri="urn:schemas-microsoft-com:office:smarttags" w:element="Street">
          <w:r w:rsidRPr="006E2A39">
            <w:rPr>
              <w:rFonts w:ascii="Times New Roman" w:eastAsia="Times New Roman" w:hAnsi="Times New Roman" w:cs="Times New Roman"/>
              <w:szCs w:val="24"/>
            </w:rPr>
            <w:t>Rayen avenue</w:t>
          </w:r>
        </w:smartTag>
      </w:smartTag>
      <w:r w:rsidRPr="006E2A39">
        <w:rPr>
          <w:rFonts w:ascii="Times New Roman" w:eastAsia="Times New Roman" w:hAnsi="Times New Roman" w:cs="Times New Roman"/>
          <w:szCs w:val="24"/>
        </w:rPr>
        <w:t xml:space="preserve">. </w:t>
      </w:r>
    </w:p>
    <w:p w14:paraId="431036F1" w14:textId="7115FF32" w:rsidR="00C356AA" w:rsidRPr="006E2A39"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t>(2)</w:t>
      </w:r>
      <w:r w:rsidRPr="006E2A39">
        <w:rPr>
          <w:rFonts w:ascii="Times New Roman" w:eastAsia="Times New Roman" w:hAnsi="Times New Roman" w:cs="Times New Roman"/>
          <w:szCs w:val="24"/>
        </w:rPr>
        <w:tab/>
        <w:t xml:space="preserve">The university has a secondary area of geographic interest that extends six to eight blocks beyond the primary area in the north, south, and west sides of the campus. </w:t>
      </w:r>
    </w:p>
    <w:p w14:paraId="275F0F13" w14:textId="04A2D866"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(a)</w:t>
      </w:r>
      <w:r w:rsidRPr="006E2A39">
        <w:rPr>
          <w:rFonts w:ascii="Times New Roman" w:eastAsia="Times New Roman" w:hAnsi="Times New Roman" w:cs="Times New Roman"/>
          <w:szCs w:val="24"/>
        </w:rPr>
        <w:tab/>
        <w:t xml:space="preserve">The university maintains a good neighbor policy in this area and takes proactive steps to ensure the health and safety of residents of this area. </w:t>
      </w:r>
    </w:p>
    <w:p w14:paraId="0ADC9445" w14:textId="79DE3030"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(b)</w:t>
      </w:r>
      <w:r w:rsidRPr="006E2A39">
        <w:rPr>
          <w:rFonts w:ascii="Times New Roman" w:eastAsia="Times New Roman" w:hAnsi="Times New Roman" w:cs="Times New Roman"/>
          <w:szCs w:val="24"/>
        </w:rPr>
        <w:tab/>
        <w:t xml:space="preserve">The university is a catalyst to develop this area and encourage commercial, economic, and housing development activity. </w:t>
      </w:r>
    </w:p>
    <w:p w14:paraId="2CBAE1C9" w14:textId="2D66F4AD"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(c)</w:t>
      </w:r>
      <w:r w:rsidRPr="006E2A39">
        <w:rPr>
          <w:rFonts w:ascii="Times New Roman" w:eastAsia="Times New Roman" w:hAnsi="Times New Roman" w:cs="Times New Roman"/>
          <w:szCs w:val="24"/>
        </w:rPr>
        <w:tab/>
        <w:t xml:space="preserve">The overriding goal of this activity is to create a living/learning environment that is conducive to the mission of the institution. </w:t>
      </w:r>
    </w:p>
    <w:p w14:paraId="50DEC5AE" w14:textId="65F3CCDE" w:rsidR="00C356AA" w:rsidRPr="006E2A39"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t>(3)</w:t>
      </w:r>
      <w:r w:rsidRPr="006E2A39">
        <w:rPr>
          <w:rFonts w:ascii="Times New Roman" w:eastAsia="Times New Roman" w:hAnsi="Times New Roman" w:cs="Times New Roman"/>
          <w:szCs w:val="24"/>
        </w:rPr>
        <w:tab/>
        <w:t xml:space="preserve">On occasion, the university may be the recipient of real estate in other locations.  The acceptance and disposition of such gifts is determined on a case-by-case basis by the president and recommended to the </w:t>
      </w:r>
      <w:r>
        <w:rPr>
          <w:rFonts w:ascii="Times New Roman" w:eastAsia="Times New Roman" w:hAnsi="Times New Roman" w:cs="Times New Roman"/>
          <w:szCs w:val="24"/>
        </w:rPr>
        <w:t>institutional engagement</w:t>
      </w:r>
      <w:r w:rsidRPr="006E2A39">
        <w:rPr>
          <w:rFonts w:ascii="Times New Roman" w:eastAsia="Times New Roman" w:hAnsi="Times New Roman" w:cs="Times New Roman"/>
          <w:szCs w:val="24"/>
        </w:rPr>
        <w:t xml:space="preserve"> committee of the board.  Prior to the acceptance of such gifts by the </w:t>
      </w:r>
      <w:r w:rsidRPr="00BD7615">
        <w:rPr>
          <w:rFonts w:ascii="Times New Roman" w:eastAsia="Times New Roman" w:hAnsi="Times New Roman" w:cs="Times New Roman"/>
          <w:szCs w:val="24"/>
        </w:rPr>
        <w:t xml:space="preserve">institutional engagement </w:t>
      </w:r>
      <w:r w:rsidRPr="006E2A39">
        <w:rPr>
          <w:rFonts w:ascii="Times New Roman" w:eastAsia="Times New Roman" w:hAnsi="Times New Roman" w:cs="Times New Roman"/>
          <w:szCs w:val="24"/>
        </w:rPr>
        <w:t xml:space="preserve">committee and the board of trustees, the real estate will be evaluated in accordance with paragraph (C) </w:t>
      </w:r>
      <w:r>
        <w:rPr>
          <w:rFonts w:ascii="Times New Roman" w:eastAsia="Times New Roman" w:hAnsi="Times New Roman" w:cs="Times New Roman"/>
          <w:szCs w:val="24"/>
        </w:rPr>
        <w:t xml:space="preserve">of this </w:t>
      </w:r>
      <w:r w:rsidR="008E08AB" w:rsidRPr="00A67066">
        <w:rPr>
          <w:rFonts w:ascii="Times New Roman" w:eastAsia="Times New Roman" w:hAnsi="Times New Roman" w:cs="Times New Roman"/>
          <w:szCs w:val="24"/>
        </w:rPr>
        <w:t>rule</w:t>
      </w:r>
      <w:r w:rsidRPr="006E2A39">
        <w:rPr>
          <w:rFonts w:ascii="Times New Roman" w:eastAsia="Times New Roman" w:hAnsi="Times New Roman" w:cs="Times New Roman"/>
          <w:szCs w:val="24"/>
        </w:rPr>
        <w:t xml:space="preserve">.  </w:t>
      </w:r>
    </w:p>
    <w:p w14:paraId="3030909A" w14:textId="1B4EA5B4" w:rsidR="00C356AA" w:rsidRPr="006E2A39" w:rsidRDefault="00C356AA" w:rsidP="00E006D0">
      <w:pPr>
        <w:autoSpaceDE w:val="0"/>
        <w:autoSpaceDN w:val="0"/>
        <w:adjustRightInd w:val="0"/>
        <w:spacing w:before="240"/>
        <w:ind w:left="720" w:hanging="720"/>
        <w:rPr>
          <w:rFonts w:ascii="Times New Roman" w:eastAsia="Times New Roman" w:hAnsi="Times New Roman" w:cs="Times New Roman"/>
          <w:szCs w:val="24"/>
        </w:rPr>
      </w:pPr>
      <w:r w:rsidRPr="006E2A39">
        <w:rPr>
          <w:rFonts w:ascii="Times New Roman" w:eastAsia="Times New Roman" w:hAnsi="Times New Roman" w:cs="Times New Roman"/>
          <w:szCs w:val="24"/>
        </w:rPr>
        <w:t>(C)</w:t>
      </w:r>
      <w:r w:rsidRPr="006E2A39">
        <w:rPr>
          <w:rFonts w:ascii="Times New Roman" w:eastAsia="Times New Roman" w:hAnsi="Times New Roman" w:cs="Times New Roman"/>
          <w:szCs w:val="24"/>
        </w:rPr>
        <w:tab/>
        <w:t xml:space="preserve">Procedures. </w:t>
      </w:r>
    </w:p>
    <w:p w14:paraId="6DABD01E" w14:textId="4EC1B5D2" w:rsidR="00C356AA" w:rsidRPr="006E2A39"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lastRenderedPageBreak/>
        <w:t xml:space="preserve"> (1)</w:t>
      </w:r>
      <w:r w:rsidRPr="006E2A39">
        <w:rPr>
          <w:rFonts w:ascii="Times New Roman" w:eastAsia="Times New Roman" w:hAnsi="Times New Roman" w:cs="Times New Roman"/>
          <w:szCs w:val="24"/>
        </w:rPr>
        <w:tab/>
      </w:r>
      <w:r>
        <w:rPr>
          <w:rFonts w:ascii="Times New Roman" w:eastAsia="Times New Roman" w:hAnsi="Times New Roman" w:cs="Times New Roman"/>
          <w:szCs w:val="24"/>
        </w:rPr>
        <w:t>As appropriate</w:t>
      </w:r>
      <w:r w:rsidRPr="006E2A39">
        <w:rPr>
          <w:rFonts w:ascii="Times New Roman" w:eastAsia="Times New Roman" w:hAnsi="Times New Roman" w:cs="Times New Roman"/>
          <w:szCs w:val="24"/>
        </w:rPr>
        <w:t xml:space="preserve">, the finance and facilities committee of the board of trustees will review the property acquisition plans of the university and make any </w:t>
      </w:r>
      <w:r>
        <w:rPr>
          <w:rFonts w:ascii="Times New Roman" w:eastAsia="Times New Roman" w:hAnsi="Times New Roman" w:cs="Times New Roman"/>
          <w:szCs w:val="24"/>
        </w:rPr>
        <w:t xml:space="preserve">necessary </w:t>
      </w:r>
      <w:r w:rsidRPr="006E2A39">
        <w:rPr>
          <w:rFonts w:ascii="Times New Roman" w:eastAsia="Times New Roman" w:hAnsi="Times New Roman" w:cs="Times New Roman"/>
          <w:szCs w:val="24"/>
        </w:rPr>
        <w:t xml:space="preserve">modifications. </w:t>
      </w:r>
    </w:p>
    <w:p w14:paraId="2DF5A79B" w14:textId="282D725F" w:rsidR="00C356AA" w:rsidRPr="006E2A39"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t>(2)</w:t>
      </w:r>
      <w:r w:rsidRPr="006E2A39">
        <w:rPr>
          <w:rFonts w:ascii="Times New Roman" w:eastAsia="Times New Roman" w:hAnsi="Times New Roman" w:cs="Times New Roman"/>
          <w:szCs w:val="24"/>
        </w:rPr>
        <w:tab/>
        <w:t xml:space="preserve">As appropriate, the finance and facilities committee agenda will include an item, “Property Acquisition Update.”  This status report addresses ongoing activities, pending actions, and issues that need attention. </w:t>
      </w:r>
    </w:p>
    <w:p w14:paraId="5D7364EC" w14:textId="3B6C4063" w:rsidR="00C356AA" w:rsidRPr="006E2A39"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t>(3)</w:t>
      </w:r>
      <w:r w:rsidRPr="006E2A39">
        <w:rPr>
          <w:rFonts w:ascii="Times New Roman" w:eastAsia="Times New Roman" w:hAnsi="Times New Roman" w:cs="Times New Roman"/>
          <w:szCs w:val="24"/>
        </w:rPr>
        <w:tab/>
        <w:t xml:space="preserve">The first step of the real estate acquisition process in the primary or secondary areas of geographic interest will be to obtain preliminary approval from the president or his designee to begin discussions with the landowner, conduct a title search, </w:t>
      </w:r>
      <w:r>
        <w:rPr>
          <w:rFonts w:ascii="Times New Roman" w:eastAsia="Times New Roman" w:hAnsi="Times New Roman" w:cs="Times New Roman"/>
          <w:szCs w:val="24"/>
        </w:rPr>
        <w:t xml:space="preserve">obtain an appraisal, </w:t>
      </w:r>
      <w:r w:rsidRPr="006E2A39">
        <w:rPr>
          <w:rFonts w:ascii="Times New Roman" w:eastAsia="Times New Roman" w:hAnsi="Times New Roman" w:cs="Times New Roman"/>
          <w:szCs w:val="24"/>
        </w:rPr>
        <w:t>and</w:t>
      </w:r>
      <w:r>
        <w:rPr>
          <w:rFonts w:ascii="Times New Roman" w:eastAsia="Times New Roman" w:hAnsi="Times New Roman" w:cs="Times New Roman"/>
          <w:szCs w:val="24"/>
        </w:rPr>
        <w:t>,</w:t>
      </w:r>
      <w:r w:rsidRPr="006E2A39">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as appropriate, </w:t>
      </w:r>
      <w:r w:rsidRPr="006E2A39">
        <w:rPr>
          <w:rFonts w:ascii="Times New Roman" w:eastAsia="Times New Roman" w:hAnsi="Times New Roman" w:cs="Times New Roman"/>
          <w:szCs w:val="24"/>
        </w:rPr>
        <w:t xml:space="preserve">conduct a phase </w:t>
      </w:r>
      <w:r>
        <w:rPr>
          <w:rFonts w:ascii="Times New Roman" w:eastAsia="Times New Roman" w:hAnsi="Times New Roman" w:cs="Times New Roman"/>
          <w:szCs w:val="24"/>
        </w:rPr>
        <w:t>one</w:t>
      </w:r>
      <w:r w:rsidRPr="006E2A39">
        <w:rPr>
          <w:rFonts w:ascii="Times New Roman" w:eastAsia="Times New Roman" w:hAnsi="Times New Roman" w:cs="Times New Roman"/>
          <w:szCs w:val="24"/>
        </w:rPr>
        <w:t xml:space="preserve"> environmental assessment. </w:t>
      </w:r>
    </w:p>
    <w:p w14:paraId="544369C6" w14:textId="16CB4776" w:rsidR="00C356AA" w:rsidRPr="006E2A39"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t>(4)</w:t>
      </w:r>
      <w:r w:rsidRPr="006E2A39">
        <w:rPr>
          <w:rFonts w:ascii="Times New Roman" w:eastAsia="Times New Roman" w:hAnsi="Times New Roman" w:cs="Times New Roman"/>
          <w:szCs w:val="24"/>
        </w:rPr>
        <w:tab/>
        <w:t>If after communicating with the landowner, conducting a title search</w:t>
      </w:r>
      <w:r>
        <w:rPr>
          <w:rFonts w:ascii="Times New Roman" w:eastAsia="Times New Roman" w:hAnsi="Times New Roman" w:cs="Times New Roman"/>
          <w:szCs w:val="24"/>
        </w:rPr>
        <w:t xml:space="preserve">, obtaining an appraisal, </w:t>
      </w:r>
      <w:r w:rsidRPr="006E2A39">
        <w:rPr>
          <w:rFonts w:ascii="Times New Roman" w:eastAsia="Times New Roman" w:hAnsi="Times New Roman" w:cs="Times New Roman"/>
          <w:szCs w:val="24"/>
        </w:rPr>
        <w:t xml:space="preserve">and performing a phase </w:t>
      </w:r>
      <w:r>
        <w:rPr>
          <w:rFonts w:ascii="Times New Roman" w:eastAsia="Times New Roman" w:hAnsi="Times New Roman" w:cs="Times New Roman"/>
          <w:szCs w:val="24"/>
        </w:rPr>
        <w:t>one</w:t>
      </w:r>
      <w:r w:rsidRPr="006E2A39">
        <w:rPr>
          <w:rFonts w:ascii="Times New Roman" w:eastAsia="Times New Roman" w:hAnsi="Times New Roman" w:cs="Times New Roman"/>
          <w:szCs w:val="24"/>
        </w:rPr>
        <w:t xml:space="preserve"> environmental assessment, </w:t>
      </w:r>
      <w:r>
        <w:rPr>
          <w:rFonts w:ascii="Times New Roman" w:eastAsia="Times New Roman" w:hAnsi="Times New Roman" w:cs="Times New Roman"/>
          <w:szCs w:val="24"/>
        </w:rPr>
        <w:t xml:space="preserve">if deemed appropriate, </w:t>
      </w:r>
      <w:r w:rsidRPr="006E2A39">
        <w:rPr>
          <w:rFonts w:ascii="Times New Roman" w:eastAsia="Times New Roman" w:hAnsi="Times New Roman" w:cs="Times New Roman"/>
          <w:szCs w:val="24"/>
        </w:rPr>
        <w:t>the administration desires to proceed with acquisition of the property, the administration will obtain a resolution from the finance and facilities committee</w:t>
      </w:r>
      <w:r>
        <w:rPr>
          <w:rFonts w:ascii="Times New Roman" w:eastAsia="Times New Roman" w:hAnsi="Times New Roman" w:cs="Times New Roman"/>
          <w:szCs w:val="24"/>
        </w:rPr>
        <w:t>,</w:t>
      </w:r>
      <w:r w:rsidRPr="006E2A39">
        <w:rPr>
          <w:rFonts w:ascii="Times New Roman" w:eastAsia="Times New Roman" w:hAnsi="Times New Roman" w:cs="Times New Roman"/>
          <w:szCs w:val="24"/>
        </w:rPr>
        <w:t xml:space="preserve"> which recommends to the board of trustees that the board approve acquisition of the real estate </w:t>
      </w:r>
      <w:r>
        <w:rPr>
          <w:rFonts w:ascii="Times New Roman" w:eastAsia="Times New Roman" w:hAnsi="Times New Roman" w:cs="Times New Roman"/>
          <w:szCs w:val="24"/>
        </w:rPr>
        <w:t xml:space="preserve">and the means of acquisition.  </w:t>
      </w:r>
      <w:r w:rsidRPr="006E2A39">
        <w:rPr>
          <w:rFonts w:ascii="Times New Roman" w:eastAsia="Times New Roman" w:hAnsi="Times New Roman" w:cs="Times New Roman"/>
          <w:szCs w:val="24"/>
        </w:rPr>
        <w:t xml:space="preserve">In seeking such a resolution from the finance and facilities committee, the administration will prepare and submit to the committee an executive summary identifying the real estate and justifying the proposed acquisition.  The executive summary </w:t>
      </w:r>
      <w:r>
        <w:rPr>
          <w:rFonts w:ascii="Times New Roman" w:eastAsia="Times New Roman" w:hAnsi="Times New Roman" w:cs="Times New Roman"/>
          <w:szCs w:val="24"/>
        </w:rPr>
        <w:t>may</w:t>
      </w:r>
      <w:r w:rsidRPr="006E2A39">
        <w:rPr>
          <w:rFonts w:ascii="Times New Roman" w:eastAsia="Times New Roman" w:hAnsi="Times New Roman" w:cs="Times New Roman"/>
          <w:szCs w:val="24"/>
        </w:rPr>
        <w:t xml:space="preserve"> also include an analysis of the phase </w:t>
      </w:r>
      <w:r>
        <w:rPr>
          <w:rFonts w:ascii="Times New Roman" w:eastAsia="Times New Roman" w:hAnsi="Times New Roman" w:cs="Times New Roman"/>
          <w:szCs w:val="24"/>
        </w:rPr>
        <w:t>one</w:t>
      </w:r>
      <w:r w:rsidRPr="006E2A39">
        <w:rPr>
          <w:rFonts w:ascii="Times New Roman" w:eastAsia="Times New Roman" w:hAnsi="Times New Roman" w:cs="Times New Roman"/>
          <w:szCs w:val="24"/>
        </w:rPr>
        <w:t xml:space="preserve"> environmental assessment and a budget impact statement. </w:t>
      </w:r>
    </w:p>
    <w:p w14:paraId="10DAF611" w14:textId="1FF005B8"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(a)</w:t>
      </w:r>
      <w:r w:rsidRPr="006E2A39">
        <w:rPr>
          <w:rFonts w:ascii="Times New Roman" w:eastAsia="Times New Roman" w:hAnsi="Times New Roman" w:cs="Times New Roman"/>
          <w:szCs w:val="24"/>
        </w:rPr>
        <w:tab/>
        <w:t>For real estate without a building, the budget impact statement will identify the intended use, projected cost of acquisition, and environmental compliance costs.</w:t>
      </w:r>
    </w:p>
    <w:p w14:paraId="1F3FB09A" w14:textId="6181C698" w:rsidR="00C356AA" w:rsidRPr="006E2A39" w:rsidRDefault="00C356AA" w:rsidP="00E006D0">
      <w:pPr>
        <w:autoSpaceDE w:val="0"/>
        <w:autoSpaceDN w:val="0"/>
        <w:adjustRightInd w:val="0"/>
        <w:spacing w:before="240"/>
        <w:ind w:left="2160" w:hanging="720"/>
        <w:rPr>
          <w:rFonts w:ascii="Times New Roman" w:eastAsia="Times New Roman" w:hAnsi="Times New Roman" w:cs="Times New Roman"/>
          <w:szCs w:val="24"/>
        </w:rPr>
      </w:pPr>
      <w:r w:rsidRPr="006E2A39">
        <w:rPr>
          <w:rFonts w:ascii="Times New Roman" w:eastAsia="Times New Roman" w:hAnsi="Times New Roman" w:cs="Times New Roman"/>
          <w:szCs w:val="24"/>
        </w:rPr>
        <w:t>(b)</w:t>
      </w:r>
      <w:r w:rsidRPr="006E2A39">
        <w:rPr>
          <w:rFonts w:ascii="Times New Roman" w:eastAsia="Times New Roman" w:hAnsi="Times New Roman" w:cs="Times New Roman"/>
          <w:szCs w:val="24"/>
        </w:rPr>
        <w:tab/>
        <w:t xml:space="preserve">For real estate with a building, the budget impact statement will identify the intended use, projected cost of acquisition, estimated remodeling or demolition costs, environmental </w:t>
      </w:r>
      <w:r w:rsidRPr="006E2A39">
        <w:rPr>
          <w:rFonts w:ascii="Times New Roman" w:eastAsia="Times New Roman" w:hAnsi="Times New Roman" w:cs="Times New Roman"/>
          <w:szCs w:val="24"/>
        </w:rPr>
        <w:lastRenderedPageBreak/>
        <w:t xml:space="preserve">compliance costs, annual operating costs (e.g., utilities, insurance, janitorial services, basic maintenance, staffing costs), projected revenue earnings, if any, and other pertinent information. </w:t>
      </w:r>
    </w:p>
    <w:p w14:paraId="2868CFF0" w14:textId="0B9FB3A7" w:rsidR="00C356AA" w:rsidRPr="006E2A39"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t>(5)</w:t>
      </w:r>
      <w:r w:rsidRPr="006E2A39">
        <w:rPr>
          <w:rFonts w:ascii="Times New Roman" w:eastAsia="Times New Roman" w:hAnsi="Times New Roman" w:cs="Times New Roman"/>
          <w:szCs w:val="24"/>
        </w:rPr>
        <w:tab/>
        <w:t xml:space="preserve">After receiving the </w:t>
      </w:r>
      <w:r>
        <w:rPr>
          <w:rFonts w:ascii="Times New Roman" w:eastAsia="Times New Roman" w:hAnsi="Times New Roman" w:cs="Times New Roman"/>
          <w:szCs w:val="24"/>
        </w:rPr>
        <w:t>listed</w:t>
      </w:r>
      <w:r w:rsidRPr="006E2A39">
        <w:rPr>
          <w:rFonts w:ascii="Times New Roman" w:eastAsia="Times New Roman" w:hAnsi="Times New Roman" w:cs="Times New Roman"/>
          <w:szCs w:val="24"/>
        </w:rPr>
        <w:t xml:space="preserve"> information, the finance and facilities committee may seek additional information, decline the administration’s request for approval to acquire the property, or pass a resolution that recommends to the board of trustees that acquisition of the real estate be approved. </w:t>
      </w:r>
    </w:p>
    <w:p w14:paraId="43D9B5A6" w14:textId="206FB189" w:rsidR="00C356AA" w:rsidRPr="00BD7615"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6E2A39">
        <w:rPr>
          <w:rFonts w:ascii="Times New Roman" w:eastAsia="Times New Roman" w:hAnsi="Times New Roman" w:cs="Times New Roman"/>
          <w:szCs w:val="24"/>
        </w:rPr>
        <w:t>(6)</w:t>
      </w:r>
      <w:r w:rsidRPr="006E2A39">
        <w:rPr>
          <w:rFonts w:ascii="Times New Roman" w:eastAsia="Times New Roman" w:hAnsi="Times New Roman" w:cs="Times New Roman"/>
          <w:szCs w:val="24"/>
        </w:rPr>
        <w:tab/>
        <w:t>After the board of trustees approves acquisition of the real estate</w:t>
      </w:r>
      <w:r>
        <w:rPr>
          <w:rFonts w:ascii="Times New Roman" w:eastAsia="Times New Roman" w:hAnsi="Times New Roman" w:cs="Times New Roman"/>
          <w:szCs w:val="24"/>
        </w:rPr>
        <w:t>,</w:t>
      </w:r>
      <w:r w:rsidRPr="006E2A39">
        <w:rPr>
          <w:rFonts w:ascii="Times New Roman" w:eastAsia="Times New Roman" w:hAnsi="Times New Roman" w:cs="Times New Roman"/>
          <w:szCs w:val="24"/>
        </w:rPr>
        <w:t xml:space="preserve"> the administration may</w:t>
      </w:r>
      <w:r>
        <w:rPr>
          <w:rFonts w:ascii="Times New Roman" w:eastAsia="Times New Roman" w:hAnsi="Times New Roman" w:cs="Times New Roman"/>
          <w:szCs w:val="24"/>
        </w:rPr>
        <w:t xml:space="preserve"> </w:t>
      </w:r>
      <w:r w:rsidRPr="00BD7615">
        <w:rPr>
          <w:rFonts w:ascii="Times New Roman" w:eastAsia="Times New Roman" w:hAnsi="Times New Roman" w:cs="Times New Roman"/>
          <w:szCs w:val="24"/>
        </w:rPr>
        <w:t>proceed to acquire the real estate within the parameters approved by the board</w:t>
      </w:r>
      <w:r w:rsidRPr="00C356AA">
        <w:rPr>
          <w:rFonts w:ascii="Times New Roman" w:eastAsia="Times New Roman" w:hAnsi="Times New Roman" w:cs="Times New Roman"/>
          <w:szCs w:val="24"/>
        </w:rPr>
        <w:t xml:space="preserve">, and subject to the approval of the state of Ohio controlling board, as may be required. </w:t>
      </w:r>
    </w:p>
    <w:p w14:paraId="1F5FF02E" w14:textId="7CF9CB00" w:rsidR="00C356AA" w:rsidRPr="00BD7615"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BD7615">
        <w:rPr>
          <w:rFonts w:ascii="Times New Roman" w:eastAsia="Times New Roman" w:hAnsi="Times New Roman" w:cs="Times New Roman"/>
          <w:szCs w:val="24"/>
        </w:rPr>
        <w:t>(7)</w:t>
      </w:r>
      <w:r w:rsidRPr="00BD7615">
        <w:rPr>
          <w:rFonts w:ascii="Times New Roman" w:eastAsia="Times New Roman" w:hAnsi="Times New Roman" w:cs="Times New Roman"/>
          <w:szCs w:val="24"/>
        </w:rPr>
        <w:tab/>
        <w:t xml:space="preserve">Acquisitions of real estate will be at the appraised value or less whenever possible.  Exceptions will be approved in advance by the president or his designee. </w:t>
      </w:r>
    </w:p>
    <w:p w14:paraId="64C9371E" w14:textId="71BA70D7" w:rsidR="00996CF1" w:rsidRPr="00DF0C62" w:rsidRDefault="00C356AA" w:rsidP="00E006D0">
      <w:pPr>
        <w:autoSpaceDE w:val="0"/>
        <w:autoSpaceDN w:val="0"/>
        <w:adjustRightInd w:val="0"/>
        <w:spacing w:before="240"/>
        <w:ind w:left="1440" w:hanging="720"/>
        <w:rPr>
          <w:rFonts w:ascii="Times New Roman" w:eastAsia="Times New Roman" w:hAnsi="Times New Roman" w:cs="Times New Roman"/>
          <w:szCs w:val="24"/>
        </w:rPr>
      </w:pPr>
      <w:r w:rsidRPr="00BD7615">
        <w:rPr>
          <w:rFonts w:ascii="Times New Roman" w:eastAsia="Times New Roman" w:hAnsi="Times New Roman" w:cs="Times New Roman"/>
          <w:szCs w:val="24"/>
        </w:rPr>
        <w:t>(8)</w:t>
      </w:r>
      <w:r w:rsidRPr="00BD7615">
        <w:rPr>
          <w:rFonts w:ascii="Times New Roman" w:eastAsia="Times New Roman" w:hAnsi="Times New Roman" w:cs="Times New Roman"/>
          <w:szCs w:val="24"/>
        </w:rPr>
        <w:tab/>
        <w:t xml:space="preserve">The administration will record all property acquisitions with the state of </w:t>
      </w:r>
      <w:smartTag w:uri="urn:schemas-microsoft-com:office:smarttags" w:element="place">
        <w:smartTag w:uri="urn:schemas-microsoft-com:office:smarttags" w:element="State">
          <w:r w:rsidRPr="00BD7615">
            <w:rPr>
              <w:rFonts w:ascii="Times New Roman" w:eastAsia="Times New Roman" w:hAnsi="Times New Roman" w:cs="Times New Roman"/>
              <w:szCs w:val="24"/>
            </w:rPr>
            <w:t>Ohio</w:t>
          </w:r>
        </w:smartTag>
      </w:smartTag>
      <w:r w:rsidRPr="00BD7615">
        <w:rPr>
          <w:rFonts w:ascii="Times New Roman" w:eastAsia="Times New Roman" w:hAnsi="Times New Roman" w:cs="Times New Roman"/>
          <w:szCs w:val="24"/>
        </w:rPr>
        <w:t xml:space="preserve"> and/or the university in the official log of institutional property.</w:t>
      </w:r>
    </w:p>
    <w:sectPr w:rsidR="00996CF1" w:rsidRPr="00DF0C62" w:rsidSect="006B357C">
      <w:headerReference w:type="even" r:id="rId10"/>
      <w:headerReference w:type="default" r:id="rId11"/>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2FF4" w14:textId="77777777" w:rsidR="0095137A" w:rsidRDefault="0095137A">
      <w:pPr>
        <w:spacing w:after="0" w:line="240" w:lineRule="auto"/>
      </w:pPr>
      <w:r>
        <w:separator/>
      </w:r>
    </w:p>
  </w:endnote>
  <w:endnote w:type="continuationSeparator" w:id="0">
    <w:p w14:paraId="6FA7A631" w14:textId="77777777" w:rsidR="0095137A" w:rsidRDefault="0095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6F69" w14:textId="77777777" w:rsidR="0095137A" w:rsidRDefault="0095137A">
      <w:pPr>
        <w:spacing w:after="0" w:line="240" w:lineRule="auto"/>
      </w:pPr>
      <w:r>
        <w:separator/>
      </w:r>
    </w:p>
  </w:footnote>
  <w:footnote w:type="continuationSeparator" w:id="0">
    <w:p w14:paraId="316EF10C" w14:textId="77777777" w:rsidR="0095137A" w:rsidRDefault="00951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600A" w14:textId="77777777" w:rsidR="00DE09B5" w:rsidRDefault="00DA2CAC" w:rsidP="006B35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291F19" w14:textId="77777777" w:rsidR="00DE09B5" w:rsidRDefault="00DE09B5" w:rsidP="006B357C">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7F5E" w14:textId="77777777" w:rsidR="00DE09B5" w:rsidRDefault="00DA2CAC" w:rsidP="006B35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56AA">
      <w:rPr>
        <w:rStyle w:val="PageNumber"/>
        <w:noProof/>
      </w:rPr>
      <w:t>2</w:t>
    </w:r>
    <w:r>
      <w:rPr>
        <w:rStyle w:val="PageNumber"/>
      </w:rPr>
      <w:fldChar w:fldCharType="end"/>
    </w:r>
  </w:p>
  <w:p w14:paraId="4E2113E3" w14:textId="77777777" w:rsidR="00DE09B5" w:rsidRDefault="009B380E" w:rsidP="00666474">
    <w:pPr>
      <w:pStyle w:val="Header"/>
      <w:tabs>
        <w:tab w:val="clear" w:pos="4680"/>
        <w:tab w:val="clear" w:pos="9360"/>
        <w:tab w:val="left" w:pos="2170"/>
      </w:tabs>
      <w:ind w:right="360" w:firstLine="360"/>
    </w:pPr>
    <w:r>
      <w:t>3356-</w:t>
    </w:r>
    <w:r w:rsidR="00666474">
      <w:t>4-05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AC"/>
    <w:rsid w:val="000058A3"/>
    <w:rsid w:val="00042FC5"/>
    <w:rsid w:val="00045BA5"/>
    <w:rsid w:val="000A1E86"/>
    <w:rsid w:val="000C0C65"/>
    <w:rsid w:val="0029719D"/>
    <w:rsid w:val="002C270D"/>
    <w:rsid w:val="002D08FC"/>
    <w:rsid w:val="002E7706"/>
    <w:rsid w:val="003A0988"/>
    <w:rsid w:val="003A3FBC"/>
    <w:rsid w:val="0044105A"/>
    <w:rsid w:val="00452B5E"/>
    <w:rsid w:val="004C63CC"/>
    <w:rsid w:val="004E5B15"/>
    <w:rsid w:val="005424CA"/>
    <w:rsid w:val="0054316A"/>
    <w:rsid w:val="0055009B"/>
    <w:rsid w:val="00576952"/>
    <w:rsid w:val="0058538A"/>
    <w:rsid w:val="005B74DD"/>
    <w:rsid w:val="005C1E90"/>
    <w:rsid w:val="00666474"/>
    <w:rsid w:val="006E2A39"/>
    <w:rsid w:val="006E33B3"/>
    <w:rsid w:val="00744BED"/>
    <w:rsid w:val="00843787"/>
    <w:rsid w:val="00845926"/>
    <w:rsid w:val="008562EB"/>
    <w:rsid w:val="008E08AB"/>
    <w:rsid w:val="00947F3E"/>
    <w:rsid w:val="0095137A"/>
    <w:rsid w:val="00961E5E"/>
    <w:rsid w:val="00996CF1"/>
    <w:rsid w:val="009A209C"/>
    <w:rsid w:val="009B380E"/>
    <w:rsid w:val="009C7206"/>
    <w:rsid w:val="00A67066"/>
    <w:rsid w:val="00AD6AE4"/>
    <w:rsid w:val="00AE7934"/>
    <w:rsid w:val="00AF34A4"/>
    <w:rsid w:val="00B74EE5"/>
    <w:rsid w:val="00BA2A7D"/>
    <w:rsid w:val="00BA73A0"/>
    <w:rsid w:val="00BB27B9"/>
    <w:rsid w:val="00BD7615"/>
    <w:rsid w:val="00C356AA"/>
    <w:rsid w:val="00CB04F1"/>
    <w:rsid w:val="00CE4B91"/>
    <w:rsid w:val="00D2052A"/>
    <w:rsid w:val="00D52C8E"/>
    <w:rsid w:val="00D65A22"/>
    <w:rsid w:val="00D66B02"/>
    <w:rsid w:val="00DA2CAC"/>
    <w:rsid w:val="00DA54B1"/>
    <w:rsid w:val="00DB786D"/>
    <w:rsid w:val="00DE09B5"/>
    <w:rsid w:val="00DF0C62"/>
    <w:rsid w:val="00E006D0"/>
    <w:rsid w:val="00E7131C"/>
    <w:rsid w:val="00E9762A"/>
    <w:rsid w:val="00F02423"/>
    <w:rsid w:val="00F66533"/>
    <w:rsid w:val="00FD6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9B20380"/>
  <w15:docId w15:val="{90159C85-9FC5-4273-A790-206A9226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CAC"/>
  </w:style>
  <w:style w:type="character" w:styleId="PageNumber">
    <w:name w:val="page number"/>
    <w:basedOn w:val="DefaultParagraphFont"/>
    <w:rsid w:val="00DA2CAC"/>
  </w:style>
  <w:style w:type="paragraph" w:styleId="Footer">
    <w:name w:val="footer"/>
    <w:basedOn w:val="Normal"/>
    <w:link w:val="FooterChar"/>
    <w:uiPriority w:val="99"/>
    <w:unhideWhenUsed/>
    <w:rsid w:val="00666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474"/>
  </w:style>
  <w:style w:type="paragraph" w:styleId="Revision">
    <w:name w:val="Revision"/>
    <w:hidden/>
    <w:uiPriority w:val="99"/>
    <w:semiHidden/>
    <w:rsid w:val="00452B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5ff8236cc89b78c1d7c3c383fce1bf5">
  <xsd:schema xmlns:xsd="http://www.w3.org/2001/XMLSchema" xmlns:xs="http://www.w3.org/2001/XMLSchema" xmlns:p="http://schemas.microsoft.com/office/2006/metadata/properties" xmlns:ns2="c6375182-8faf-406a-bc62-bc3c74cd8834" targetNamespace="http://schemas.microsoft.com/office/2006/metadata/properties" ma:root="true" ma:fieldsID="6f78e631987df60e501ac1bfaa848303"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5ED259-1AC8-4EFA-9258-D916C2B0AD6E}">
  <ds:schemaRefs>
    <ds:schemaRef ds:uri="http://schemas.microsoft.com/office/2006/metadata/properties"/>
    <ds:schemaRef ds:uri="http://schemas.microsoft.com/office/infopath/2007/PartnerControls"/>
    <ds:schemaRef ds:uri="b892b486-bcd9-4bcc-8033-a4aac5cbd73b"/>
  </ds:schemaRefs>
</ds:datastoreItem>
</file>

<file path=customXml/itemProps2.xml><?xml version="1.0" encoding="utf-8"?>
<ds:datastoreItem xmlns:ds="http://schemas.openxmlformats.org/officeDocument/2006/customXml" ds:itemID="{34364F6C-0A5B-4033-922E-F3D1176CC548}">
  <ds:schemaRefs>
    <ds:schemaRef ds:uri="http://schemas.microsoft.com/sharepoint/v3/contenttype/forms"/>
  </ds:schemaRefs>
</ds:datastoreItem>
</file>

<file path=customXml/itemProps3.xml><?xml version="1.0" encoding="utf-8"?>
<ds:datastoreItem xmlns:ds="http://schemas.openxmlformats.org/officeDocument/2006/customXml" ds:itemID="{318751B9-61B9-4A2C-A111-17B88DDEF6EF}">
  <ds:schemaRefs>
    <ds:schemaRef ds:uri="http://schemas.openxmlformats.org/officeDocument/2006/bibliography"/>
  </ds:schemaRefs>
</ds:datastoreItem>
</file>

<file path=customXml/itemProps4.xml><?xml version="1.0" encoding="utf-8"?>
<ds:datastoreItem xmlns:ds="http://schemas.openxmlformats.org/officeDocument/2006/customXml" ds:itemID="{DE281CA3-1660-4A0B-8FC9-6A3A45352AE5}"/>
</file>

<file path=docProps/app.xml><?xml version="1.0" encoding="utf-8"?>
<Properties xmlns="http://schemas.openxmlformats.org/officeDocument/2006/extended-properties" xmlns:vt="http://schemas.openxmlformats.org/officeDocument/2006/docPropsVTypes">
  <Template>Normal</Template>
  <TotalTime>4</TotalTime>
  <Pages>4</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7</cp:revision>
  <cp:lastPrinted>2015-10-13T19:51:00Z</cp:lastPrinted>
  <dcterms:created xsi:type="dcterms:W3CDTF">2026-01-29T15:52:00Z</dcterms:created>
  <dcterms:modified xsi:type="dcterms:W3CDTF">2026-03-31T18:13:00Z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y fmtid="{D5CDD505-2E9C-101B-9397-08002B2CF9AE}" pid="3" name="MediaServiceImageTags">
    <vt:lpwstr/>
  </property>
</Properties>
</file>