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0F44" w14:textId="77777777" w:rsidR="004F41ED" w:rsidRDefault="004F41ED" w:rsidP="004F41ED">
      <w:pPr>
        <w:tabs>
          <w:tab w:val="left" w:pos="1440"/>
        </w:tabs>
      </w:pPr>
      <w:r w:rsidRPr="004F41ED">
        <w:rPr>
          <w:b/>
        </w:rPr>
        <w:t>3356-3-13</w:t>
      </w:r>
      <w:r>
        <w:rPr>
          <w:b/>
        </w:rPr>
        <w:tab/>
      </w:r>
      <w:r w:rsidRPr="004F41ED">
        <w:rPr>
          <w:b/>
        </w:rPr>
        <w:t xml:space="preserve">Business-related and entertainment expenses. </w:t>
      </w:r>
      <w:r w:rsidRPr="004F41ED">
        <w:rPr>
          <w:b/>
        </w:rPr>
        <w:br/>
      </w:r>
    </w:p>
    <w:p w14:paraId="70C16F87" w14:textId="77777777" w:rsidR="004F41ED" w:rsidRPr="004F41ED" w:rsidRDefault="004F41ED" w:rsidP="004F41ED">
      <w:pPr>
        <w:tabs>
          <w:tab w:val="left" w:pos="3060"/>
          <w:tab w:val="left" w:pos="7200"/>
        </w:tabs>
        <w:spacing w:line="276" w:lineRule="auto"/>
      </w:pPr>
      <w:r w:rsidRPr="004F41ED">
        <w:t xml:space="preserve">Responsible </w:t>
      </w:r>
      <w:r w:rsidR="00E15ECC">
        <w:t>Division/</w:t>
      </w:r>
      <w:r w:rsidRPr="004F41ED">
        <w:t>Office:</w:t>
      </w:r>
      <w:r w:rsidRPr="004F41ED">
        <w:tab/>
      </w:r>
      <w:r>
        <w:t xml:space="preserve">Finance and </w:t>
      </w:r>
      <w:r w:rsidR="002E234F">
        <w:t>Business Operations</w:t>
      </w:r>
      <w:r w:rsidRPr="004F41ED">
        <w:tab/>
      </w:r>
    </w:p>
    <w:p w14:paraId="47E0875A" w14:textId="77777777" w:rsidR="004F41ED" w:rsidRPr="004F41ED" w:rsidRDefault="004F41ED" w:rsidP="004F41ED">
      <w:pPr>
        <w:tabs>
          <w:tab w:val="left" w:pos="3060"/>
          <w:tab w:val="left" w:pos="7200"/>
        </w:tabs>
        <w:spacing w:line="276" w:lineRule="auto"/>
      </w:pPr>
      <w:r w:rsidRPr="004F41ED">
        <w:t>Responsible Officer:</w:t>
      </w:r>
      <w:r w:rsidRPr="004F41ED">
        <w:tab/>
      </w:r>
      <w:r>
        <w:t xml:space="preserve">VP for Finance and </w:t>
      </w:r>
      <w:r w:rsidR="002E234F">
        <w:t>Business Operations</w:t>
      </w:r>
    </w:p>
    <w:p w14:paraId="0BB56489" w14:textId="77777777" w:rsidR="004F41ED" w:rsidRDefault="004F41ED" w:rsidP="004F41ED">
      <w:pPr>
        <w:tabs>
          <w:tab w:val="left" w:pos="3060"/>
          <w:tab w:val="left" w:pos="7200"/>
        </w:tabs>
        <w:spacing w:line="276" w:lineRule="auto"/>
      </w:pPr>
      <w:r w:rsidRPr="004F41ED">
        <w:t>Revision History:</w:t>
      </w:r>
      <w:r w:rsidRPr="004F41ED">
        <w:tab/>
      </w:r>
      <w:r>
        <w:t xml:space="preserve">December 2004; March 2010; March </w:t>
      </w:r>
      <w:r w:rsidRPr="004F41ED">
        <w:t>2015</w:t>
      </w:r>
      <w:r w:rsidR="002E234F">
        <w:t>;</w:t>
      </w:r>
    </w:p>
    <w:p w14:paraId="48DE9145" w14:textId="4298CDFB" w:rsidR="002E234F" w:rsidRPr="004F41ED" w:rsidRDefault="002E234F" w:rsidP="004F41ED">
      <w:pPr>
        <w:tabs>
          <w:tab w:val="left" w:pos="3060"/>
          <w:tab w:val="left" w:pos="7200"/>
        </w:tabs>
        <w:spacing w:line="276" w:lineRule="auto"/>
      </w:pPr>
      <w:r>
        <w:tab/>
        <w:t>September 2020</w:t>
      </w:r>
      <w:r w:rsidR="00462DA3">
        <w:t>; September 2025</w:t>
      </w:r>
    </w:p>
    <w:p w14:paraId="1D77D212" w14:textId="77777777" w:rsidR="004F41ED" w:rsidRPr="004F41ED" w:rsidRDefault="004F41ED" w:rsidP="004F41ED">
      <w:pPr>
        <w:tabs>
          <w:tab w:val="left" w:pos="3060"/>
          <w:tab w:val="left" w:pos="7200"/>
        </w:tabs>
        <w:spacing w:line="276" w:lineRule="auto"/>
      </w:pPr>
      <w:r w:rsidRPr="004F41ED">
        <w:t>Board Committee:</w:t>
      </w:r>
      <w:r w:rsidRPr="004F41ED">
        <w:tab/>
      </w:r>
      <w:r>
        <w:t>Finance and Facilities</w:t>
      </w:r>
    </w:p>
    <w:p w14:paraId="18C2B364" w14:textId="47C31618" w:rsidR="004F41ED" w:rsidRPr="009C118F" w:rsidRDefault="009351AD" w:rsidP="004F41ED">
      <w:pPr>
        <w:tabs>
          <w:tab w:val="left" w:pos="3060"/>
          <w:tab w:val="left" w:pos="7200"/>
        </w:tabs>
        <w:spacing w:line="276" w:lineRule="auto"/>
        <w:rPr>
          <w:b/>
          <w:bCs/>
        </w:rPr>
      </w:pPr>
      <w:r w:rsidRPr="009C118F">
        <w:rPr>
          <w:b/>
          <w:bCs/>
        </w:rPr>
        <w:t xml:space="preserve">Effective </w:t>
      </w:r>
      <w:r w:rsidR="004F41ED" w:rsidRPr="009C118F">
        <w:rPr>
          <w:b/>
          <w:bCs/>
        </w:rPr>
        <w:t>Date:</w:t>
      </w:r>
      <w:r w:rsidR="004F41ED" w:rsidRPr="009C118F">
        <w:rPr>
          <w:b/>
          <w:bCs/>
        </w:rPr>
        <w:tab/>
      </w:r>
      <w:r w:rsidR="002B3A5D" w:rsidRPr="009C118F">
        <w:rPr>
          <w:b/>
          <w:bCs/>
        </w:rPr>
        <w:t xml:space="preserve">September 17, 2025 </w:t>
      </w:r>
      <w:r w:rsidR="00382B98" w:rsidRPr="009C118F">
        <w:rPr>
          <w:b/>
          <w:bCs/>
        </w:rPr>
        <w:t>(</w:t>
      </w:r>
      <w:r w:rsidR="002B3A5D" w:rsidRPr="009C118F">
        <w:rPr>
          <w:b/>
          <w:bCs/>
        </w:rPr>
        <w:t>reviewed</w:t>
      </w:r>
      <w:r w:rsidR="00AE6C8D">
        <w:rPr>
          <w:b/>
          <w:bCs/>
        </w:rPr>
        <w:t>;</w:t>
      </w:r>
      <w:r w:rsidR="002B3A5D" w:rsidRPr="009C118F">
        <w:rPr>
          <w:b/>
          <w:bCs/>
        </w:rPr>
        <w:t xml:space="preserve"> </w:t>
      </w:r>
      <w:r w:rsidR="00382B98" w:rsidRPr="009C118F">
        <w:rPr>
          <w:b/>
          <w:bCs/>
        </w:rPr>
        <w:t>no changes)</w:t>
      </w:r>
    </w:p>
    <w:p w14:paraId="0068B54F" w14:textId="74B9F2C8" w:rsidR="004F41ED" w:rsidRPr="004F41ED" w:rsidRDefault="004F41ED" w:rsidP="004F41ED">
      <w:pPr>
        <w:tabs>
          <w:tab w:val="left" w:pos="3060"/>
          <w:tab w:val="left" w:pos="7200"/>
        </w:tabs>
        <w:spacing w:line="276" w:lineRule="auto"/>
      </w:pPr>
      <w:r w:rsidRPr="004F41ED">
        <w:t>Next Review:</w:t>
      </w:r>
      <w:r w:rsidRPr="004F41ED">
        <w:tab/>
      </w:r>
      <w:r w:rsidR="002B3A5D">
        <w:t>2030</w:t>
      </w:r>
    </w:p>
    <w:p w14:paraId="4C005118" w14:textId="77777777" w:rsidR="004F41ED" w:rsidRPr="004F41ED" w:rsidRDefault="004F41ED" w:rsidP="004F41ED">
      <w:pPr>
        <w:tabs>
          <w:tab w:val="left" w:pos="3060"/>
          <w:tab w:val="left" w:pos="7920"/>
        </w:tabs>
        <w:rPr>
          <w:b/>
          <w:u w:val="single"/>
        </w:rPr>
      </w:pPr>
      <w:r w:rsidRPr="004F41ED">
        <w:rPr>
          <w:b/>
          <w:u w:val="single"/>
        </w:rPr>
        <w:tab/>
      </w:r>
      <w:r w:rsidRPr="004F41ED">
        <w:rPr>
          <w:b/>
          <w:u w:val="single"/>
        </w:rPr>
        <w:tab/>
      </w:r>
    </w:p>
    <w:p w14:paraId="4333E4CE" w14:textId="77777777" w:rsidR="004F41ED" w:rsidRPr="004F41ED" w:rsidRDefault="004F41ED" w:rsidP="004F41ED">
      <w:pPr>
        <w:rPr>
          <w:b/>
        </w:rPr>
      </w:pPr>
    </w:p>
    <w:p w14:paraId="38DD87F5" w14:textId="77777777" w:rsidR="004F41ED" w:rsidRPr="004F41ED" w:rsidRDefault="004F41ED" w:rsidP="004F41ED">
      <w:pPr>
        <w:pStyle w:val="Default"/>
        <w:ind w:left="720" w:hanging="720"/>
        <w:rPr>
          <w:color w:val="auto"/>
        </w:rPr>
      </w:pPr>
      <w:r w:rsidRPr="004F41ED">
        <w:rPr>
          <w:color w:val="auto"/>
        </w:rPr>
        <w:t>(A)</w:t>
      </w:r>
      <w:r w:rsidRPr="004F41ED">
        <w:rPr>
          <w:color w:val="auto"/>
        </w:rPr>
        <w:tab/>
        <w:t>Policy statement.  The board of trustees authorizes the establishment of business-related and entertainment expense guidelines for reasonable food, beverage, and incidental costs associated with the conduct of university business.</w:t>
      </w:r>
    </w:p>
    <w:p w14:paraId="25B582AB" w14:textId="77777777" w:rsidR="004F41ED" w:rsidRPr="004F41ED" w:rsidRDefault="004F41ED" w:rsidP="004F41ED">
      <w:pPr>
        <w:ind w:left="720" w:hanging="720"/>
      </w:pPr>
    </w:p>
    <w:p w14:paraId="3F62AA98" w14:textId="77777777" w:rsidR="004F41ED" w:rsidRPr="004F41ED" w:rsidRDefault="004F41ED" w:rsidP="004F41ED">
      <w:pPr>
        <w:pStyle w:val="Default"/>
        <w:ind w:left="720" w:hanging="720"/>
        <w:rPr>
          <w:color w:val="auto"/>
        </w:rPr>
      </w:pPr>
      <w:r w:rsidRPr="004F41ED">
        <w:rPr>
          <w:color w:val="auto"/>
        </w:rPr>
        <w:t>(B)</w:t>
      </w:r>
      <w:r w:rsidRPr="004F41ED">
        <w:rPr>
          <w:color w:val="auto"/>
        </w:rPr>
        <w:tab/>
        <w:t>Purpose.  To establish the manner and extent to which university funds may be expended for business-related activities, entertainment, and hospitality.</w:t>
      </w:r>
    </w:p>
    <w:p w14:paraId="47376634" w14:textId="77777777" w:rsidR="004F41ED" w:rsidRPr="004F41ED" w:rsidRDefault="004F41ED" w:rsidP="004F41ED">
      <w:pPr>
        <w:ind w:left="720" w:hanging="720"/>
      </w:pPr>
    </w:p>
    <w:p w14:paraId="3358C2B1" w14:textId="77777777" w:rsidR="004F41ED" w:rsidRPr="004F41ED" w:rsidRDefault="004F41ED" w:rsidP="004F41ED">
      <w:pPr>
        <w:pStyle w:val="Default"/>
        <w:ind w:left="720" w:hanging="720"/>
        <w:rPr>
          <w:color w:val="auto"/>
        </w:rPr>
      </w:pPr>
      <w:r w:rsidRPr="004F41ED">
        <w:rPr>
          <w:color w:val="auto"/>
        </w:rPr>
        <w:t>(C)</w:t>
      </w:r>
      <w:r w:rsidRPr="004F41ED">
        <w:rPr>
          <w:color w:val="auto"/>
        </w:rPr>
        <w:tab/>
        <w:t xml:space="preserve">Scope.  This policy applies to all university employees.  </w:t>
      </w:r>
    </w:p>
    <w:p w14:paraId="6F31C60E" w14:textId="77777777" w:rsidR="004F41ED" w:rsidRPr="004F41ED" w:rsidRDefault="004F41ED" w:rsidP="004F41ED">
      <w:pPr>
        <w:pStyle w:val="Default"/>
        <w:ind w:left="720" w:hanging="720"/>
        <w:rPr>
          <w:color w:val="auto"/>
        </w:rPr>
      </w:pPr>
      <w:r w:rsidRPr="004F41ED">
        <w:rPr>
          <w:color w:val="auto"/>
        </w:rPr>
        <w:t xml:space="preserve"> </w:t>
      </w:r>
    </w:p>
    <w:p w14:paraId="63880B68" w14:textId="7C945093" w:rsidR="004F41ED" w:rsidRPr="004F41ED" w:rsidRDefault="004F41ED" w:rsidP="004F41ED">
      <w:pPr>
        <w:pStyle w:val="Default"/>
        <w:ind w:left="720" w:hanging="720"/>
        <w:rPr>
          <w:color w:val="auto"/>
        </w:rPr>
      </w:pPr>
      <w:r w:rsidRPr="004F41ED">
        <w:rPr>
          <w:color w:val="auto"/>
        </w:rPr>
        <w:t>(D)</w:t>
      </w:r>
      <w:r w:rsidRPr="004F41ED">
        <w:rPr>
          <w:color w:val="auto"/>
        </w:rPr>
        <w:tab/>
        <w:t xml:space="preserve">Procedures.  The university’s business-related and entertainment expense guidelines may be accessed at the </w:t>
      </w:r>
      <w:hyperlink r:id="rId7" w:history="1">
        <w:r w:rsidR="00293879" w:rsidRPr="00293879">
          <w:rPr>
            <w:rStyle w:val="Hyperlink"/>
          </w:rPr>
          <w:t>procurement webpage</w:t>
        </w:r>
      </w:hyperlink>
      <w:r w:rsidRPr="004F41ED">
        <w:rPr>
          <w:color w:val="auto"/>
        </w:rPr>
        <w:t xml:space="preserve">.  </w:t>
      </w:r>
    </w:p>
    <w:p w14:paraId="752A8C97" w14:textId="77777777" w:rsidR="004F41ED" w:rsidRPr="004F41ED" w:rsidRDefault="004F41ED" w:rsidP="004F41ED">
      <w:pPr>
        <w:ind w:left="720" w:hanging="720"/>
        <w:rPr>
          <w:rStyle w:val="Hyperlink"/>
          <w:color w:val="auto"/>
          <w:u w:val="none"/>
        </w:rPr>
      </w:pPr>
    </w:p>
    <w:p w14:paraId="7C6067B3" w14:textId="77777777" w:rsidR="004F41ED" w:rsidRPr="004F41ED" w:rsidRDefault="004F41ED" w:rsidP="004F41ED"/>
    <w:p w14:paraId="19773F22" w14:textId="77777777" w:rsidR="00996CF1" w:rsidRPr="004F41ED" w:rsidRDefault="00996CF1"/>
    <w:sectPr w:rsidR="00996CF1" w:rsidRPr="004F41ED" w:rsidSect="004F7172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ED"/>
    <w:rsid w:val="00042FC5"/>
    <w:rsid w:val="00293879"/>
    <w:rsid w:val="002B3A5D"/>
    <w:rsid w:val="002E234F"/>
    <w:rsid w:val="00382B98"/>
    <w:rsid w:val="0042677F"/>
    <w:rsid w:val="00462DA3"/>
    <w:rsid w:val="004F41ED"/>
    <w:rsid w:val="00626F21"/>
    <w:rsid w:val="00664BD3"/>
    <w:rsid w:val="008A060C"/>
    <w:rsid w:val="009351AD"/>
    <w:rsid w:val="00996CF1"/>
    <w:rsid w:val="009C118F"/>
    <w:rsid w:val="00AE6C8D"/>
    <w:rsid w:val="00C07241"/>
    <w:rsid w:val="00DB6C83"/>
    <w:rsid w:val="00E15ECC"/>
    <w:rsid w:val="00EE61F6"/>
    <w:rsid w:val="00F570E8"/>
    <w:rsid w:val="00F8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ACEC2"/>
  <w15:docId w15:val="{D2EA4CA9-8A1A-4A5A-BDC8-92714041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1E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4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styleId="Hyperlink">
    <w:name w:val="Hyperlink"/>
    <w:rsid w:val="004F41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8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387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62DA3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ysu.edu/procurement-services/procurement-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26565e7fe5223409c38c52decf27d6dc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4d8849dc60feb1d0f0e4c13ea6ef0f5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C27F1-E3FE-4BDF-9904-3C615ABA269B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2063601B-0593-4EDB-AA0D-59994EAE2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FA493-5D9E-45D4-A96A-BC56066B8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4</cp:revision>
  <dcterms:created xsi:type="dcterms:W3CDTF">2025-07-30T14:24:00Z</dcterms:created>
  <dcterms:modified xsi:type="dcterms:W3CDTF">2025-08-18T19:13:00Z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MediaServiceImageTags">
    <vt:lpwstr/>
  </property>
</Properties>
</file>