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DA5C" w14:textId="21ED967F" w:rsidR="00823E08" w:rsidRPr="00DA6E7C" w:rsidRDefault="00823E08" w:rsidP="00D57200">
      <w:pPr>
        <w:spacing w:before="240" w:after="240"/>
        <w:ind w:left="1440" w:hanging="1440"/>
        <w:rPr>
          <w:rFonts w:ascii="Times New Roman" w:hAnsi="Times New Roman"/>
          <w:b/>
          <w:sz w:val="24"/>
          <w:szCs w:val="24"/>
        </w:rPr>
      </w:pPr>
      <w:r w:rsidRPr="00DA6E7C">
        <w:rPr>
          <w:rFonts w:ascii="Times New Roman" w:hAnsi="Times New Roman"/>
          <w:b/>
          <w:sz w:val="24"/>
          <w:szCs w:val="24"/>
        </w:rPr>
        <w:t>3356-3-02</w:t>
      </w:r>
      <w:r w:rsidRPr="00DA6E7C">
        <w:rPr>
          <w:rFonts w:ascii="Times New Roman" w:hAnsi="Times New Roman"/>
          <w:b/>
          <w:sz w:val="24"/>
          <w:szCs w:val="24"/>
        </w:rPr>
        <w:tab/>
        <w:t>Development and assessment of student tuition and fees (including reduction/refund of tuition and fees).</w:t>
      </w:r>
    </w:p>
    <w:p w14:paraId="2FA0FE53" w14:textId="77777777" w:rsidR="00823E08" w:rsidRPr="00DA6E7C" w:rsidRDefault="00823E08" w:rsidP="00D57200">
      <w:pPr>
        <w:widowControl/>
        <w:tabs>
          <w:tab w:val="left" w:pos="3060"/>
          <w:tab w:val="left" w:pos="7200"/>
        </w:tabs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Responsible Division/Office:</w:t>
      </w:r>
      <w:r w:rsidRPr="00DA6E7C">
        <w:rPr>
          <w:rFonts w:ascii="Times New Roman" w:hAnsi="Times New Roman"/>
          <w:sz w:val="24"/>
          <w:szCs w:val="24"/>
        </w:rPr>
        <w:tab/>
        <w:t>Finance and Business Operations</w:t>
      </w:r>
      <w:r w:rsidRPr="00DA6E7C">
        <w:rPr>
          <w:rFonts w:ascii="Times New Roman" w:hAnsi="Times New Roman"/>
          <w:sz w:val="24"/>
          <w:szCs w:val="24"/>
        </w:rPr>
        <w:tab/>
      </w:r>
    </w:p>
    <w:p w14:paraId="4E497637" w14:textId="77777777" w:rsidR="00823E08" w:rsidRPr="00DA6E7C" w:rsidRDefault="00823E08" w:rsidP="00D57200">
      <w:pPr>
        <w:widowControl/>
        <w:tabs>
          <w:tab w:val="left" w:pos="3060"/>
          <w:tab w:val="left" w:pos="7200"/>
        </w:tabs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Responsible Officer:</w:t>
      </w:r>
      <w:r w:rsidRPr="00DA6E7C">
        <w:rPr>
          <w:rFonts w:ascii="Times New Roman" w:hAnsi="Times New Roman"/>
          <w:sz w:val="24"/>
          <w:szCs w:val="24"/>
        </w:rPr>
        <w:tab/>
        <w:t>VP for Finance and Business Operations</w:t>
      </w:r>
    </w:p>
    <w:p w14:paraId="636E63EA" w14:textId="77777777" w:rsidR="00D57200" w:rsidRPr="00DA6E7C" w:rsidRDefault="00823E08" w:rsidP="00D57200">
      <w:pPr>
        <w:widowControl/>
        <w:tabs>
          <w:tab w:val="left" w:pos="3060"/>
        </w:tabs>
        <w:ind w:left="3060" w:hanging="306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Revision History:</w:t>
      </w:r>
      <w:r w:rsidRPr="00DA6E7C">
        <w:rPr>
          <w:rFonts w:ascii="Times New Roman" w:hAnsi="Times New Roman"/>
          <w:sz w:val="24"/>
          <w:szCs w:val="24"/>
        </w:rPr>
        <w:tab/>
        <w:t>March 1998; June 1998; March 2007; October</w:t>
      </w:r>
      <w:r w:rsidR="00BB2245" w:rsidRPr="00DA6E7C">
        <w:rPr>
          <w:rFonts w:ascii="Times New Roman" w:hAnsi="Times New Roman"/>
          <w:sz w:val="24"/>
          <w:szCs w:val="24"/>
        </w:rPr>
        <w:t xml:space="preserve"> 2</w:t>
      </w:r>
      <w:r w:rsidRPr="00DA6E7C">
        <w:rPr>
          <w:rFonts w:ascii="Times New Roman" w:hAnsi="Times New Roman"/>
          <w:sz w:val="24"/>
          <w:szCs w:val="24"/>
        </w:rPr>
        <w:t xml:space="preserve">009; </w:t>
      </w:r>
    </w:p>
    <w:p w14:paraId="5C99540A" w14:textId="120B82F2" w:rsidR="00D57200" w:rsidRPr="00DA6E7C" w:rsidRDefault="00D57200" w:rsidP="00D57200">
      <w:pPr>
        <w:widowControl/>
        <w:tabs>
          <w:tab w:val="left" w:pos="3060"/>
        </w:tabs>
        <w:ind w:left="3060" w:hanging="306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June 2010; March 2011</w:t>
      </w:r>
      <w:r w:rsidR="00596A83">
        <w:rPr>
          <w:rFonts w:ascii="Times New Roman" w:hAnsi="Times New Roman"/>
          <w:sz w:val="24"/>
          <w:szCs w:val="24"/>
        </w:rPr>
        <w:t>;</w:t>
      </w:r>
      <w:r w:rsidR="00823E08" w:rsidRPr="00DA6E7C">
        <w:rPr>
          <w:rFonts w:ascii="Times New Roman" w:hAnsi="Times New Roman"/>
          <w:sz w:val="24"/>
          <w:szCs w:val="24"/>
        </w:rPr>
        <w:t xml:space="preserve"> December 2015;</w:t>
      </w:r>
      <w:r w:rsidR="00970D42"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 xml:space="preserve">March 2016; </w:t>
      </w:r>
    </w:p>
    <w:p w14:paraId="7349016E" w14:textId="1582B18D" w:rsidR="00823E08" w:rsidRDefault="00D57200" w:rsidP="00D57200">
      <w:pPr>
        <w:widowControl/>
        <w:tabs>
          <w:tab w:val="left" w:pos="3060"/>
        </w:tabs>
        <w:ind w:left="3060" w:hanging="306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December 2020; March 2021</w:t>
      </w:r>
      <w:r w:rsidR="00894B4F">
        <w:rPr>
          <w:rFonts w:ascii="Times New Roman" w:hAnsi="Times New Roman"/>
          <w:sz w:val="24"/>
          <w:szCs w:val="24"/>
        </w:rPr>
        <w:t>; December 2025</w:t>
      </w:r>
    </w:p>
    <w:p w14:paraId="52C8D6EA" w14:textId="77777777" w:rsidR="00823E08" w:rsidRPr="00DA6E7C" w:rsidRDefault="00823E08" w:rsidP="00D57200">
      <w:pPr>
        <w:widowControl/>
        <w:tabs>
          <w:tab w:val="left" w:pos="3060"/>
          <w:tab w:val="left" w:pos="7200"/>
        </w:tabs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Board Committee:</w:t>
      </w:r>
      <w:r w:rsidRPr="00DA6E7C">
        <w:rPr>
          <w:rFonts w:ascii="Times New Roman" w:hAnsi="Times New Roman"/>
          <w:sz w:val="24"/>
          <w:szCs w:val="24"/>
        </w:rPr>
        <w:tab/>
        <w:t>Finance and Facilities</w:t>
      </w:r>
    </w:p>
    <w:p w14:paraId="7DE9B5E2" w14:textId="77777777" w:rsidR="00823E08" w:rsidRPr="00DA6E7C" w:rsidRDefault="00823E08" w:rsidP="00D57200">
      <w:pPr>
        <w:widowControl/>
        <w:tabs>
          <w:tab w:val="left" w:pos="3060"/>
          <w:tab w:val="left" w:pos="7200"/>
        </w:tabs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b/>
          <w:sz w:val="24"/>
          <w:szCs w:val="24"/>
        </w:rPr>
        <w:t>Effective Date:</w:t>
      </w:r>
      <w:r w:rsidRPr="00DA6E7C">
        <w:rPr>
          <w:rFonts w:ascii="Times New Roman" w:hAnsi="Times New Roman"/>
          <w:sz w:val="24"/>
          <w:szCs w:val="24"/>
        </w:rPr>
        <w:tab/>
      </w:r>
      <w:r w:rsidRPr="00DA6E7C">
        <w:rPr>
          <w:rFonts w:ascii="Times New Roman" w:hAnsi="Times New Roman"/>
          <w:b/>
          <w:sz w:val="24"/>
          <w:szCs w:val="24"/>
        </w:rPr>
        <w:t>December 11, 2025</w:t>
      </w:r>
    </w:p>
    <w:p w14:paraId="262C9E6E" w14:textId="77777777" w:rsidR="00D57200" w:rsidRPr="00DA6E7C" w:rsidRDefault="00823E08" w:rsidP="00D57200">
      <w:pPr>
        <w:widowControl/>
        <w:tabs>
          <w:tab w:val="left" w:pos="3060"/>
          <w:tab w:val="left" w:pos="7200"/>
        </w:tabs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Next Review:</w:t>
      </w:r>
      <w:r w:rsidRPr="00DA6E7C">
        <w:rPr>
          <w:rFonts w:ascii="Times New Roman" w:hAnsi="Times New Roman"/>
          <w:sz w:val="24"/>
          <w:szCs w:val="24"/>
        </w:rPr>
        <w:tab/>
        <w:t>2030</w:t>
      </w:r>
    </w:p>
    <w:p w14:paraId="2F630FE8" w14:textId="77777777" w:rsidR="00D57200" w:rsidRPr="00DA6E7C" w:rsidRDefault="00823E08" w:rsidP="00D57200">
      <w:pPr>
        <w:widowControl/>
        <w:tabs>
          <w:tab w:val="left" w:pos="3060"/>
          <w:tab w:val="left" w:pos="7200"/>
        </w:tabs>
        <w:ind w:right="1440"/>
        <w:rPr>
          <w:rFonts w:ascii="Times New Roman" w:hAnsi="Times New Roman"/>
          <w:b/>
          <w:sz w:val="24"/>
          <w:szCs w:val="24"/>
          <w:u w:val="single"/>
        </w:rPr>
      </w:pPr>
      <w:r w:rsidRPr="00DA6E7C">
        <w:rPr>
          <w:rFonts w:ascii="Times New Roman" w:hAnsi="Times New Roman"/>
          <w:b/>
          <w:sz w:val="24"/>
          <w:szCs w:val="24"/>
          <w:u w:val="single"/>
        </w:rPr>
        <w:tab/>
      </w:r>
      <w:r w:rsidRPr="00DA6E7C">
        <w:rPr>
          <w:rFonts w:ascii="Times New Roman" w:hAnsi="Times New Roman"/>
          <w:b/>
          <w:sz w:val="24"/>
          <w:szCs w:val="24"/>
          <w:u w:val="single"/>
        </w:rPr>
        <w:tab/>
      </w:r>
      <w:r w:rsidR="00D57200" w:rsidRPr="00DA6E7C"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4FF8D910" w14:textId="597FD4F5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72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bCs/>
          <w:sz w:val="24"/>
          <w:szCs w:val="24"/>
        </w:rPr>
        <w:t>(A)</w:t>
      </w:r>
      <w:r w:rsidRPr="00DA6E7C">
        <w:rPr>
          <w:rFonts w:ascii="Times New Roman" w:hAnsi="Times New Roman"/>
          <w:bCs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Policy statement.  The board of trustees of Youngstown state university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(university) shall review and approve the schedules of student tuition and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fees.</w:t>
      </w:r>
      <w:r w:rsidR="00894B4F">
        <w:rPr>
          <w:rFonts w:ascii="Times New Roman" w:hAnsi="Times New Roman"/>
          <w:sz w:val="24"/>
          <w:szCs w:val="24"/>
        </w:rPr>
        <w:t xml:space="preserve">  </w:t>
      </w:r>
      <w:r w:rsidR="00823E08" w:rsidRPr="00DA6E7C">
        <w:rPr>
          <w:rFonts w:ascii="Times New Roman" w:hAnsi="Times New Roman"/>
          <w:sz w:val="24"/>
          <w:szCs w:val="24"/>
        </w:rPr>
        <w:t>These schedules and the associated refund procedures will be printed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in university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catalogs and other official university documents.</w:t>
      </w:r>
    </w:p>
    <w:p w14:paraId="69A3F0B7" w14:textId="718AFAB8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72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(B)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Student tuition and fees</w:t>
      </w:r>
      <w:r w:rsidRPr="00DA6E7C">
        <w:rPr>
          <w:rFonts w:ascii="Times New Roman" w:hAnsi="Times New Roman"/>
          <w:sz w:val="24"/>
          <w:szCs w:val="24"/>
        </w:rPr>
        <w:t>.</w:t>
      </w:r>
    </w:p>
    <w:p w14:paraId="008F70BA" w14:textId="451FF809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144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(1)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Parameters.</w:t>
      </w:r>
    </w:p>
    <w:p w14:paraId="2946B036" w14:textId="2819B806" w:rsidR="0056202E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(a)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The board of trustees reserves the right to change any fee, charge,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or fine, as may be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permitted by state law.</w:t>
      </w:r>
      <w:r w:rsidR="0056202E" w:rsidRPr="00DA6E7C">
        <w:rPr>
          <w:rFonts w:ascii="Times New Roman" w:hAnsi="Times New Roman"/>
          <w:sz w:val="24"/>
          <w:szCs w:val="24"/>
        </w:rPr>
        <w:t xml:space="preserve">  </w:t>
      </w:r>
    </w:p>
    <w:p w14:paraId="7E95468E" w14:textId="360C7DBD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(b)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For the purpose of assessing tuition and fee charges, residency is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determined at the time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of admission or readmission.</w:t>
      </w:r>
    </w:p>
    <w:p w14:paraId="5EF3D92A" w14:textId="5B0DE202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(c)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Tuition and fees are assessed at the time of registration.</w:t>
      </w:r>
    </w:p>
    <w:p w14:paraId="445880D0" w14:textId="75F8C31E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144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(2)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Procedures.</w:t>
      </w:r>
    </w:p>
    <w:p w14:paraId="04FF5922" w14:textId="77BA67E9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(a)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Annually as part of the budget development process, if permitted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by state law, the administration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shall review the schedules of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tuition and fees to determine if modifications are advisable.</w:t>
      </w:r>
    </w:p>
    <w:p w14:paraId="167B1E21" w14:textId="10E50845" w:rsidR="00D57200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(b)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Any proposed modifications will be reviewed by the president’s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executive leadership team</w:t>
      </w:r>
      <w:r w:rsidR="008C057E" w:rsidRPr="00DA6E7C">
        <w:rPr>
          <w:rFonts w:ascii="Times New Roman" w:hAnsi="Times New Roman"/>
          <w:sz w:val="24"/>
          <w:szCs w:val="24"/>
        </w:rPr>
        <w:t xml:space="preserve"> and as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C057E" w:rsidRPr="00DA6E7C">
        <w:rPr>
          <w:rFonts w:ascii="Times New Roman" w:hAnsi="Times New Roman"/>
          <w:sz w:val="24"/>
          <w:szCs w:val="24"/>
        </w:rPr>
        <w:t>appropriate</w:t>
      </w:r>
      <w:r w:rsidR="00823E08" w:rsidRPr="00DA6E7C">
        <w:rPr>
          <w:rFonts w:ascii="Times New Roman" w:hAnsi="Times New Roman"/>
          <w:sz w:val="24"/>
          <w:szCs w:val="24"/>
        </w:rPr>
        <w:t>, other administrative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groups</w:t>
      </w:r>
      <w:r w:rsidR="0081724A"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and student government.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55D38A4D" w14:textId="321EE001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(c)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Any proposed changes to tuition and fees shall be developed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within the parameters permitted by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state law.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625B26D1" w14:textId="11B53EFF" w:rsidR="00D57200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(d)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Proposed schedules of tuition and fees and miscellaneous fees will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 xml:space="preserve">be presented to the finance </w:t>
      </w:r>
      <w:r w:rsidRPr="00DA6E7C">
        <w:rPr>
          <w:rFonts w:ascii="Times New Roman" w:hAnsi="Times New Roman"/>
          <w:sz w:val="24"/>
          <w:szCs w:val="24"/>
        </w:rPr>
        <w:t>a</w:t>
      </w:r>
      <w:r w:rsidR="00823E08" w:rsidRPr="00DA6E7C">
        <w:rPr>
          <w:rFonts w:ascii="Times New Roman" w:hAnsi="Times New Roman"/>
          <w:sz w:val="24"/>
          <w:szCs w:val="24"/>
        </w:rPr>
        <w:t>nd facilities committee of the board of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trustees, which will recommend action to the full board of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trustees.</w:t>
      </w:r>
    </w:p>
    <w:p w14:paraId="6000C7B9" w14:textId="6CD54B47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lastRenderedPageBreak/>
        <w:t>(e)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In the event that state law, enacted subsequent to the board of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trustees having taken action on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tuition and fees, limits or prohibits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the university’s ability to modify tuition and fees, the university’s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tuition and fees will be set to the levels permitted by state law,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notwithstanding any previous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action taken by the board of trustees.</w:t>
      </w:r>
    </w:p>
    <w:p w14:paraId="6BA0DE78" w14:textId="129A4DC9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72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(C)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Reduction/refund of student tuition and fees.</w:t>
      </w:r>
    </w:p>
    <w:p w14:paraId="72426A8D" w14:textId="6FBE6E8F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144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(1)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Parameters.</w:t>
      </w:r>
    </w:p>
    <w:p w14:paraId="5A01933D" w14:textId="25BBB617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(a)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A full or partial reduction of the instructional, general, information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services,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performance, music, college, program and course fees,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and the non</w:t>
      </w:r>
      <w:r w:rsidR="00DA6E7C">
        <w:rPr>
          <w:rFonts w:ascii="Times New Roman" w:hAnsi="Times New Roman"/>
          <w:sz w:val="24"/>
          <w:szCs w:val="24"/>
        </w:rPr>
        <w:t>-</w:t>
      </w:r>
      <w:r w:rsidR="00823E08" w:rsidRPr="00DA6E7C">
        <w:rPr>
          <w:rFonts w:ascii="Times New Roman" w:hAnsi="Times New Roman"/>
          <w:sz w:val="24"/>
          <w:szCs w:val="24"/>
        </w:rPr>
        <w:t>resident surcharge will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be provided for all withdrawals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or reductions which take place during a specified period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of time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 xml:space="preserve">outlined in the current university </w:t>
      </w:r>
      <w:hyperlink r:id="rId10" w:history="1"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undergraduate and graduate</w:t>
        </w:r>
        <w:r w:rsidR="00894B4F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catalogs</w:t>
        </w:r>
      </w:hyperlink>
      <w:r w:rsidR="00823E08" w:rsidRPr="00DA6E7C">
        <w:rPr>
          <w:rFonts w:ascii="Times New Roman" w:hAnsi="Times New Roman"/>
          <w:sz w:val="24"/>
          <w:szCs w:val="24"/>
        </w:rPr>
        <w:t>, or as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modified by action of the board of trustees.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3B3BD7BC" w14:textId="57019DB6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(b)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Students suspended or dismissed from the university for non</w:t>
      </w:r>
      <w:r w:rsidR="00894B4F">
        <w:rPr>
          <w:rFonts w:ascii="Times New Roman" w:hAnsi="Times New Roman"/>
          <w:sz w:val="24"/>
          <w:szCs w:val="24"/>
        </w:rPr>
        <w:t xml:space="preserve">- </w:t>
      </w:r>
      <w:r w:rsidR="00823E08" w:rsidRPr="00DA6E7C">
        <w:rPr>
          <w:rFonts w:ascii="Times New Roman" w:hAnsi="Times New Roman"/>
          <w:sz w:val="24"/>
          <w:szCs w:val="24"/>
        </w:rPr>
        <w:t>academic reasons are not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entitled to any reduction of fees unless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extenuating circumstances are demonstrably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present, such as a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medical condition verified by a physician.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2A7137EC" w14:textId="34E7DCC6" w:rsidR="00823E08" w:rsidRPr="00DA6E7C" w:rsidRDefault="00D57200" w:rsidP="00DA6E7C">
      <w:pPr>
        <w:widowControl/>
        <w:tabs>
          <w:tab w:val="left" w:pos="3060"/>
          <w:tab w:val="left" w:pos="7200"/>
        </w:tabs>
        <w:spacing w:before="240" w:after="240"/>
        <w:ind w:left="144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(2)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Procedures.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107651F3" w14:textId="12F36083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(a)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To receive a reduction of fees, a student must officially withdraw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or complete an official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change of registration.</w:t>
      </w:r>
    </w:p>
    <w:p w14:paraId="7CEAB54E" w14:textId="41986208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(b)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Students who withdraw or reduce hours after the specified refund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period, and who do so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for reasons beyond their control (such as for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 medical issue,</w:t>
      </w:r>
      <w:r w:rsidR="00D74678"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change in work shifts,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transfer of employment or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death of immediate family member), may request to have their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fees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reviewed in accordance with the fees and charges appeals board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process.  If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approved, the fees may be revised on a prorated basis.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05C919F3" w14:textId="231C3542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(c)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Students withdrawing from all classes as a result of being called to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active military service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 xml:space="preserve">are eligible for a </w:t>
      </w:r>
      <w:hyperlink r:id="rId11" w:history="1">
        <w:r w:rsidR="00823E08" w:rsidRPr="00DA6E7C">
          <w:rPr>
            <w:rStyle w:val="Hyperlink"/>
            <w:rFonts w:ascii="Times New Roman" w:eastAsiaTheme="majorEastAsia" w:hAnsi="Times New Roman"/>
            <w:sz w:val="24"/>
            <w:szCs w:val="24"/>
          </w:rPr>
          <w:t>full reduction of fees</w:t>
        </w:r>
      </w:hyperlink>
      <w:r w:rsidR="00823E08" w:rsidRPr="00DA6E7C">
        <w:rPr>
          <w:rFonts w:ascii="Times New Roman" w:hAnsi="Times New Roman"/>
          <w:sz w:val="24"/>
          <w:szCs w:val="24"/>
        </w:rPr>
        <w:t>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p w14:paraId="6D2224E2" w14:textId="7D5D9316" w:rsidR="00823E08" w:rsidRPr="00DA6E7C" w:rsidRDefault="00D57200" w:rsidP="00D57200">
      <w:pPr>
        <w:widowControl/>
        <w:tabs>
          <w:tab w:val="left" w:pos="3060"/>
          <w:tab w:val="left" w:pos="7200"/>
        </w:tabs>
        <w:spacing w:before="240" w:after="240"/>
        <w:ind w:left="2160" w:right="720" w:hanging="720"/>
        <w:rPr>
          <w:rFonts w:ascii="Times New Roman" w:hAnsi="Times New Roman"/>
          <w:sz w:val="24"/>
          <w:szCs w:val="24"/>
        </w:rPr>
      </w:pPr>
      <w:r w:rsidRPr="00DA6E7C">
        <w:rPr>
          <w:rFonts w:ascii="Times New Roman" w:hAnsi="Times New Roman"/>
          <w:sz w:val="24"/>
          <w:szCs w:val="24"/>
        </w:rPr>
        <w:t>(d)</w:t>
      </w:r>
      <w:r w:rsidRPr="00DA6E7C">
        <w:rPr>
          <w:rFonts w:ascii="Times New Roman" w:hAnsi="Times New Roman"/>
          <w:sz w:val="24"/>
          <w:szCs w:val="24"/>
        </w:rPr>
        <w:tab/>
      </w:r>
      <w:r w:rsidR="00823E08" w:rsidRPr="00DA6E7C">
        <w:rPr>
          <w:rFonts w:ascii="Times New Roman" w:hAnsi="Times New Roman"/>
          <w:sz w:val="24"/>
          <w:szCs w:val="24"/>
        </w:rPr>
        <w:t>Individuals seeking additional information on the reduction/refund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of fees and charges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>should refer to the current university</w:t>
      </w:r>
      <w:r w:rsidR="00894B4F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undergraduate catalog</w:t>
        </w:r>
      </w:hyperlink>
      <w:r w:rsidR="00823E08" w:rsidRPr="00DA6E7C"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graduate catalog</w:t>
        </w:r>
      </w:hyperlink>
      <w:r w:rsidR="00823E08" w:rsidRPr="00DA6E7C">
        <w:rPr>
          <w:rFonts w:ascii="Times New Roman" w:hAnsi="Times New Roman"/>
          <w:sz w:val="24"/>
          <w:szCs w:val="24"/>
        </w:rPr>
        <w:t>, or by</w:t>
      </w:r>
      <w:r w:rsidRPr="00DA6E7C">
        <w:rPr>
          <w:rFonts w:ascii="Times New Roman" w:hAnsi="Times New Roman"/>
          <w:sz w:val="24"/>
          <w:szCs w:val="24"/>
        </w:rPr>
        <w:t xml:space="preserve"> </w:t>
      </w:r>
      <w:r w:rsidR="00823E08" w:rsidRPr="00DA6E7C">
        <w:rPr>
          <w:rFonts w:ascii="Times New Roman" w:hAnsi="Times New Roman"/>
          <w:sz w:val="24"/>
          <w:szCs w:val="24"/>
        </w:rPr>
        <w:t xml:space="preserve">contacting the </w:t>
      </w:r>
      <w:hyperlink r:id="rId14" w:history="1"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office</w:t>
        </w:r>
        <w:r w:rsidR="00894B4F">
          <w:rPr>
            <w:rStyle w:val="Hyperlink"/>
            <w:rFonts w:ascii="Times New Roman" w:hAnsi="Times New Roman"/>
            <w:sz w:val="24"/>
            <w:szCs w:val="24"/>
          </w:rPr>
          <w:t xml:space="preserve"> </w:t>
        </w:r>
        <w:r w:rsidR="00823E08" w:rsidRPr="00DA6E7C">
          <w:rPr>
            <w:rStyle w:val="Hyperlink"/>
            <w:rFonts w:ascii="Times New Roman" w:hAnsi="Times New Roman"/>
            <w:sz w:val="24"/>
            <w:szCs w:val="24"/>
          </w:rPr>
          <w:t>of university bursar</w:t>
        </w:r>
      </w:hyperlink>
      <w:r w:rsidR="00823E08" w:rsidRPr="00DA6E7C">
        <w:rPr>
          <w:rFonts w:ascii="Times New Roman" w:hAnsi="Times New Roman"/>
          <w:sz w:val="24"/>
          <w:szCs w:val="24"/>
        </w:rPr>
        <w:t>.</w:t>
      </w:r>
      <w:r w:rsidRPr="00DA6E7C">
        <w:rPr>
          <w:rFonts w:ascii="Times New Roman" w:hAnsi="Times New Roman"/>
          <w:sz w:val="24"/>
          <w:szCs w:val="24"/>
        </w:rPr>
        <w:t xml:space="preserve">  </w:t>
      </w:r>
    </w:p>
    <w:sectPr w:rsidR="00823E08" w:rsidRPr="00DA6E7C" w:rsidSect="000D53F5">
      <w:head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A1A58" w14:textId="77777777" w:rsidR="006B5EDF" w:rsidRDefault="006B5EDF" w:rsidP="001D0BBB">
      <w:r>
        <w:separator/>
      </w:r>
    </w:p>
  </w:endnote>
  <w:endnote w:type="continuationSeparator" w:id="0">
    <w:p w14:paraId="009FD8DF" w14:textId="77777777" w:rsidR="006B5EDF" w:rsidRDefault="006B5EDF" w:rsidP="001D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8239A" w14:textId="77777777" w:rsidR="006B5EDF" w:rsidRDefault="006B5EDF" w:rsidP="001D0BBB">
      <w:r>
        <w:separator/>
      </w:r>
    </w:p>
  </w:footnote>
  <w:footnote w:type="continuationSeparator" w:id="0">
    <w:p w14:paraId="6A257108" w14:textId="77777777" w:rsidR="006B5EDF" w:rsidRDefault="006B5EDF" w:rsidP="001D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C506" w14:textId="5108CE7D" w:rsidR="001D0BBB" w:rsidRPr="000D53F5" w:rsidRDefault="000F1935" w:rsidP="000D53F5">
    <w:pPr>
      <w:pStyle w:val="Header"/>
      <w:tabs>
        <w:tab w:val="clear" w:pos="4680"/>
        <w:tab w:val="clear" w:pos="9360"/>
        <w:tab w:val="right" w:pos="7920"/>
      </w:tabs>
      <w:rPr>
        <w:rFonts w:ascii="Times New Roman" w:hAnsi="Times New Roman"/>
        <w:sz w:val="24"/>
        <w:szCs w:val="24"/>
      </w:rPr>
    </w:pPr>
    <w:r w:rsidRPr="000D53F5">
      <w:rPr>
        <w:rFonts w:ascii="Times New Roman" w:hAnsi="Times New Roman"/>
        <w:sz w:val="24"/>
        <w:szCs w:val="24"/>
      </w:rPr>
      <w:t>3356-3-02</w:t>
    </w:r>
    <w:r w:rsidR="000D53F5">
      <w:rPr>
        <w:rFonts w:ascii="Times New Roman" w:hAnsi="Times New Roman"/>
        <w:sz w:val="24"/>
        <w:szCs w:val="24"/>
      </w:rPr>
      <w:tab/>
      <w:t>2</w:t>
    </w:r>
    <w:r w:rsidR="000D53F5">
      <w:rPr>
        <w:rFonts w:ascii="Times New Roman" w:hAnsi="Times New Roman"/>
        <w:sz w:val="24"/>
        <w:szCs w:val="24"/>
      </w:rPr>
      <w:tab/>
    </w:r>
    <w:r w:rsidR="000D53F5">
      <w:rPr>
        <w:rFonts w:ascii="Times New Roman" w:hAnsi="Times New Roman"/>
        <w:sz w:val="24"/>
        <w:szCs w:val="24"/>
      </w:rPr>
      <w:tab/>
    </w:r>
    <w:r w:rsidR="000D53F5">
      <w:rPr>
        <w:rFonts w:ascii="Times New Roman" w:hAnsi="Times New Roman"/>
        <w:sz w:val="24"/>
        <w:szCs w:val="24"/>
      </w:rPr>
      <w:tab/>
    </w:r>
    <w:r w:rsidR="000D53F5">
      <w:rPr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36512"/>
    <w:multiLevelType w:val="hybridMultilevel"/>
    <w:tmpl w:val="4C828C94"/>
    <w:lvl w:ilvl="0" w:tplc="9A58B04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EC331D"/>
    <w:multiLevelType w:val="hybridMultilevel"/>
    <w:tmpl w:val="CE644DCC"/>
    <w:lvl w:ilvl="0" w:tplc="76C86F0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A9184A"/>
    <w:multiLevelType w:val="hybridMultilevel"/>
    <w:tmpl w:val="47806476"/>
    <w:lvl w:ilvl="0" w:tplc="F3F46E92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0E1275"/>
    <w:multiLevelType w:val="hybridMultilevel"/>
    <w:tmpl w:val="C99A9836"/>
    <w:lvl w:ilvl="0" w:tplc="08B0A95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071F59"/>
    <w:multiLevelType w:val="hybridMultilevel"/>
    <w:tmpl w:val="CFE628E8"/>
    <w:lvl w:ilvl="0" w:tplc="831AF580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F340D2"/>
    <w:multiLevelType w:val="hybridMultilevel"/>
    <w:tmpl w:val="0D281FA4"/>
    <w:lvl w:ilvl="0" w:tplc="B11AC03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F3E4CD9"/>
    <w:multiLevelType w:val="hybridMultilevel"/>
    <w:tmpl w:val="A684B2DA"/>
    <w:lvl w:ilvl="0" w:tplc="BA86500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9195904">
    <w:abstractNumId w:val="4"/>
  </w:num>
  <w:num w:numId="2" w16cid:durableId="1759131931">
    <w:abstractNumId w:val="2"/>
  </w:num>
  <w:num w:numId="3" w16cid:durableId="1171213508">
    <w:abstractNumId w:val="1"/>
  </w:num>
  <w:num w:numId="4" w16cid:durableId="370961808">
    <w:abstractNumId w:val="3"/>
  </w:num>
  <w:num w:numId="5" w16cid:durableId="1407805792">
    <w:abstractNumId w:val="6"/>
  </w:num>
  <w:num w:numId="6" w16cid:durableId="2060283446">
    <w:abstractNumId w:val="0"/>
  </w:num>
  <w:num w:numId="7" w16cid:durableId="1226182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08"/>
    <w:rsid w:val="000D53F5"/>
    <w:rsid w:val="000F1935"/>
    <w:rsid w:val="00110BC8"/>
    <w:rsid w:val="001D0BBB"/>
    <w:rsid w:val="0026660A"/>
    <w:rsid w:val="002C4AF3"/>
    <w:rsid w:val="002D4511"/>
    <w:rsid w:val="00374892"/>
    <w:rsid w:val="003C5270"/>
    <w:rsid w:val="00485CD8"/>
    <w:rsid w:val="00540E2C"/>
    <w:rsid w:val="0056202E"/>
    <w:rsid w:val="00596A83"/>
    <w:rsid w:val="00687305"/>
    <w:rsid w:val="006B5EDF"/>
    <w:rsid w:val="00761F19"/>
    <w:rsid w:val="007D7183"/>
    <w:rsid w:val="0081724A"/>
    <w:rsid w:val="00823E08"/>
    <w:rsid w:val="008346FF"/>
    <w:rsid w:val="0086511B"/>
    <w:rsid w:val="0089347F"/>
    <w:rsid w:val="00894B4F"/>
    <w:rsid w:val="008C057E"/>
    <w:rsid w:val="00970D42"/>
    <w:rsid w:val="00A8666F"/>
    <w:rsid w:val="00BA518E"/>
    <w:rsid w:val="00BB2245"/>
    <w:rsid w:val="00D57200"/>
    <w:rsid w:val="00D74678"/>
    <w:rsid w:val="00DA681B"/>
    <w:rsid w:val="00DA6E7C"/>
    <w:rsid w:val="00DD48AF"/>
    <w:rsid w:val="00E26ED9"/>
    <w:rsid w:val="00EE7634"/>
    <w:rsid w:val="00F1656E"/>
    <w:rsid w:val="00F20E76"/>
    <w:rsid w:val="00F2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8ED63"/>
  <w15:chartTrackingRefBased/>
  <w15:docId w15:val="{EF376F42-CE30-4AA2-9493-AF19F084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08"/>
    <w:pPr>
      <w:widowControl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E0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uiPriority w:val="99"/>
    <w:rsid w:val="00823E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23E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720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B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BBB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0B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BBB"/>
    <w:rPr>
      <w:rFonts w:ascii="Arial" w:eastAsia="Times New Roman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talog.ysu.edu/undergraduat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atalog.ysu.edu/undergraduat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ysu.edu/graduate/general-information/academic-policies-procedures/withdrawal-for-military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catalog.ysu.edu/undergraduat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su.edu/university-burs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05F3EC-F7DF-4F49-9DF7-7C7C9FD19E5E}"/>
</file>

<file path=customXml/itemProps2.xml><?xml version="1.0" encoding="utf-8"?>
<ds:datastoreItem xmlns:ds="http://schemas.openxmlformats.org/officeDocument/2006/customXml" ds:itemID="{6A491848-F8AF-48B4-9E9A-AD9E09E9A5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FF385-9D59-443E-9114-219B5E195B95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3175</Characters>
  <Application>Microsoft Office Word</Application>
  <DocSecurity>0</DocSecurity>
  <Lines>66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M. Kralj</dc:creator>
  <cp:keywords/>
  <dc:description/>
  <cp:lastModifiedBy>Mari Jusino</cp:lastModifiedBy>
  <cp:revision>14</cp:revision>
  <dcterms:created xsi:type="dcterms:W3CDTF">2025-10-20T19:44:00Z</dcterms:created>
  <dcterms:modified xsi:type="dcterms:W3CDTF">2025-12-22T17:42:00Z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